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30CC0AC2"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703D31">
        <w:rPr>
          <w:rStyle w:val="Strong"/>
          <w:lang w:val="en-GB"/>
        </w:rPr>
        <w:t>46-G008-24</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4" w:name="_Toc419901150"/>
      <w:r w:rsidRPr="00E810BA">
        <w:t>Financial viability</w:t>
      </w:r>
      <w:bookmarkEnd w:id="4"/>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5" w:name="_Toc419901151"/>
      <w:r w:rsidRPr="00B74539">
        <w:rPr>
          <w:lang w:eastAsia="ko-KR"/>
        </w:rPr>
        <w:t>Validity of facts</w:t>
      </w:r>
      <w:bookmarkEnd w:id="5"/>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6" w:name="_Toc419901152"/>
      <w:r w:rsidRPr="00B74539">
        <w:rPr>
          <w:lang w:eastAsia="ko-KR"/>
        </w:rPr>
        <w:lastRenderedPageBreak/>
        <w:t xml:space="preserve">Anti-corruption </w:t>
      </w:r>
      <w:bookmarkEnd w:id="6"/>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7" w:name="_Toc419901154"/>
      <w:r w:rsidRPr="00850C62">
        <w:rPr>
          <w:lang w:eastAsia="ko-KR"/>
        </w:rPr>
        <w:t>Socially responsible and environmentally safe practice</w:t>
      </w:r>
      <w:bookmarkEnd w:id="7"/>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8" w:name="_Toc419901155"/>
      <w:r w:rsidRPr="00405D05">
        <w:rPr>
          <w:lang w:eastAsia="ko-KR"/>
        </w:rPr>
        <w:t>Public release of marks for successful Tenderer</w:t>
      </w:r>
      <w:bookmarkEnd w:id="8"/>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9"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B65EF0">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75868" w14:textId="77777777" w:rsidR="00B65EF0" w:rsidRDefault="00B65EF0">
      <w:r>
        <w:separator/>
      </w:r>
    </w:p>
  </w:endnote>
  <w:endnote w:type="continuationSeparator" w:id="0">
    <w:p w14:paraId="0816BD72" w14:textId="77777777" w:rsidR="00B65EF0" w:rsidRDefault="00B65EF0">
      <w:r>
        <w:continuationSeparator/>
      </w:r>
    </w:p>
  </w:endnote>
  <w:endnote w:type="continuationNotice" w:id="1">
    <w:p w14:paraId="06E8EB72" w14:textId="77777777" w:rsidR="00B65EF0" w:rsidRDefault="00B65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670A9DE1" w:rsidR="00133D55" w:rsidRDefault="00133D55" w:rsidP="004878F3">
    <w:pPr>
      <w:pStyle w:val="Footer"/>
    </w:pPr>
    <w:r>
      <w:fldChar w:fldCharType="begin"/>
    </w:r>
    <w:r>
      <w:instrText xml:space="preserve"> DATE \@ "yyyy-MM-dd" </w:instrText>
    </w:r>
    <w:r>
      <w:fldChar w:fldCharType="separate"/>
    </w:r>
    <w:r w:rsidR="00703D31">
      <w:rPr>
        <w:noProof/>
      </w:rPr>
      <w:t>2024-04-29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F5CBC" w14:textId="77777777" w:rsidR="00B65EF0" w:rsidRDefault="00B65EF0">
      <w:r>
        <w:separator/>
      </w:r>
    </w:p>
  </w:footnote>
  <w:footnote w:type="continuationSeparator" w:id="0">
    <w:p w14:paraId="0D73924D" w14:textId="77777777" w:rsidR="00B65EF0" w:rsidRDefault="00B65EF0">
      <w:r>
        <w:continuationSeparator/>
      </w:r>
    </w:p>
  </w:footnote>
  <w:footnote w:type="continuationNotice" w:id="1">
    <w:p w14:paraId="5AB5ED24" w14:textId="77777777" w:rsidR="00B65EF0" w:rsidRDefault="00B65EF0"/>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447CB456"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871974">
    <w:abstractNumId w:val="1"/>
  </w:num>
  <w:num w:numId="2" w16cid:durableId="331689060">
    <w:abstractNumId w:val="9"/>
  </w:num>
  <w:num w:numId="3" w16cid:durableId="644624910">
    <w:abstractNumId w:val="10"/>
  </w:num>
  <w:num w:numId="4" w16cid:durableId="1810513196">
    <w:abstractNumId w:val="4"/>
  </w:num>
  <w:num w:numId="5" w16cid:durableId="161549814">
    <w:abstractNumId w:val="3"/>
  </w:num>
  <w:num w:numId="6" w16cid:durableId="1543790267">
    <w:abstractNumId w:val="6"/>
  </w:num>
  <w:num w:numId="7" w16cid:durableId="2050451762">
    <w:abstractNumId w:val="5"/>
  </w:num>
  <w:num w:numId="8" w16cid:durableId="805776547">
    <w:abstractNumId w:val="8"/>
  </w:num>
  <w:num w:numId="9" w16cid:durableId="1645891988">
    <w:abstractNumId w:val="0"/>
  </w:num>
  <w:num w:numId="10" w16cid:durableId="800878605">
    <w:abstractNumId w:val="7"/>
  </w:num>
  <w:num w:numId="11" w16cid:durableId="3891848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3D31"/>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5EF0"/>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55A0"/>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8CC"/>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2</TotalTime>
  <Pages>4</Pages>
  <Words>1008</Words>
  <Characters>5747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Baauea Tamueru</cp:lastModifiedBy>
  <cp:revision>5</cp:revision>
  <cp:lastPrinted>2013-10-18T08:32:00Z</cp:lastPrinted>
  <dcterms:created xsi:type="dcterms:W3CDTF">2020-07-06T12:37:00Z</dcterms:created>
  <dcterms:modified xsi:type="dcterms:W3CDTF">2024-04-28T23:58:00Z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