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before="6000"/>
        <w:jc w:val="center"/>
        <w:rPr>
          <w:rFonts w:ascii="Times New Roman" w:hAnsi="Times New Roman"/>
          <w:b/>
          <w:bCs/>
          <w:sz w:val="32"/>
          <w:szCs w:val="32"/>
          <w:lang w:val="en-GB"/>
        </w:rPr>
      </w:pPr>
      <w:bookmarkStart w:id="0" w:name="_Toc11850090"/>
      <w:bookmarkStart w:id="1" w:name="_Toc18147710"/>
      <w:bookmarkStart w:id="2" w:name="_Hlk12289057"/>
      <w:bookmarkStart w:id="91" w:name="_GoBack"/>
      <w:bookmarkEnd w:id="91"/>
      <w:r>
        <w:rPr>
          <w:rFonts w:ascii="Times New Roman" w:hAnsi="Times New Roman"/>
          <w:b/>
          <w:bCs/>
          <w:sz w:val="32"/>
          <w:szCs w:val="32"/>
          <w:lang w:val="en-GB"/>
        </w:rPr>
        <w:t>CONTRACT FOR THE SUPPLY OF GOODS</w:t>
      </w:r>
    </w:p>
    <w:p>
      <w:pPr>
        <w:spacing w:before="0"/>
        <w:jc w:val="center"/>
        <w:rPr>
          <w:b/>
          <w:bCs/>
          <w:sz w:val="32"/>
          <w:szCs w:val="32"/>
          <w:lang w:val="en-GB"/>
        </w:rPr>
      </w:pPr>
    </w:p>
    <w:p>
      <w:pPr>
        <w:spacing w:before="0"/>
        <w:jc w:val="center"/>
        <w:rPr>
          <w:b/>
          <w:bCs/>
          <w:sz w:val="32"/>
          <w:szCs w:val="32"/>
          <w:lang w:val="en-GB"/>
        </w:rPr>
      </w:pPr>
      <w:r>
        <w:rPr>
          <w:b/>
          <w:bCs/>
          <w:sz w:val="32"/>
          <w:szCs w:val="32"/>
          <w:lang w:val="en-GB"/>
        </w:rPr>
        <w:t>SPECIAL CONTRACT CONDITIONS</w:t>
      </w:r>
    </w:p>
    <w:p>
      <w:pPr>
        <w:pStyle w:val="27"/>
        <w:spacing w:before="6000"/>
        <w:jc w:val="center"/>
        <w:rPr>
          <w:rFonts w:ascii="Times New Roman" w:hAnsi="Times New Roman"/>
          <w:b/>
          <w:bCs/>
          <w:sz w:val="32"/>
          <w:szCs w:val="32"/>
          <w:lang w:val="en-GB"/>
        </w:rPr>
      </w:pPr>
    </w:p>
    <w:p>
      <w:pPr>
        <w:spacing w:before="0" w:after="160" w:line="259" w:lineRule="auto"/>
        <w:jc w:val="left"/>
        <w:rPr>
          <w:rFonts w:cs="Times New Roman" w:eastAsiaTheme="majorEastAsia"/>
          <w:color w:val="2F5597" w:themeColor="accent1" w:themeShade="BF"/>
          <w:sz w:val="24"/>
          <w:lang w:val="en-GB" w:eastAsia="it-IT"/>
        </w:rPr>
      </w:pPr>
      <w:bookmarkStart w:id="3" w:name="_Hlk18597575"/>
      <w:r>
        <w:rPr>
          <w:rFonts w:cs="Times New Roman"/>
          <w:sz w:val="24"/>
        </w:rPr>
        <w:br w:type="page"/>
      </w:r>
    </w:p>
    <w:bookmarkEnd w:id="0"/>
    <w:bookmarkEnd w:id="1"/>
    <w:bookmarkEnd w:id="3"/>
    <w:p>
      <w:pPr>
        <w:rPr>
          <w:szCs w:val="20"/>
          <w:lang w:val="en-GB"/>
        </w:rPr>
      </w:pPr>
      <w:r>
        <w:rPr>
          <w:szCs w:val="20"/>
          <w:lang w:val="en-GB"/>
        </w:rPr>
        <w:t>This contract for the Supply of Goods (“Contract”) is entered between:</w:t>
      </w:r>
    </w:p>
    <w:p>
      <w:pPr>
        <w:rPr>
          <w:szCs w:val="20"/>
          <w:lang w:val="en-GB"/>
        </w:rPr>
      </w:pPr>
      <w:r>
        <w:rPr>
          <w:szCs w:val="20"/>
          <w:lang w:val="en-GB"/>
        </w:rPr>
        <w:t>The [</w:t>
      </w:r>
      <w:r>
        <w:rPr>
          <w:szCs w:val="20"/>
          <w:highlight w:val="yellow"/>
          <w:lang w:val="en-GB"/>
        </w:rPr>
        <w:t>Ministry of X / SOE</w:t>
      </w:r>
      <w:r>
        <w:rPr>
          <w:szCs w:val="20"/>
          <w:lang w:val="en-GB"/>
        </w:rPr>
        <w:t xml:space="preserve">] of the Republic of Kiribati, with its office at the address stated in section SCC </w:t>
      </w:r>
      <w:r>
        <w:rPr>
          <w:szCs w:val="20"/>
          <w:lang w:val="en-GB"/>
        </w:rPr>
        <w:fldChar w:fldCharType="begin"/>
      </w:r>
      <w:r>
        <w:rPr>
          <w:szCs w:val="20"/>
          <w:lang w:val="en-GB"/>
        </w:rPr>
        <w:instrText xml:space="preserve"> REF _Ref11845945 \r \h </w:instrText>
      </w:r>
      <w:r>
        <w:rPr>
          <w:szCs w:val="20"/>
          <w:lang w:val="en-GB"/>
        </w:rPr>
        <w:fldChar w:fldCharType="separate"/>
      </w:r>
      <w:r>
        <w:rPr>
          <w:szCs w:val="20"/>
          <w:lang w:val="en-GB"/>
        </w:rPr>
        <w:t>4</w:t>
      </w:r>
      <w:r>
        <w:rPr>
          <w:szCs w:val="20"/>
          <w:lang w:val="en-GB"/>
        </w:rPr>
        <w:fldChar w:fldCharType="end"/>
      </w:r>
      <w:r>
        <w:rPr>
          <w:szCs w:val="20"/>
          <w:lang w:val="en-GB"/>
        </w:rPr>
        <w:t xml:space="preserve"> (hereinafter referred to as the “Procuring Entity”)</w:t>
      </w:r>
    </w:p>
    <w:p>
      <w:pPr>
        <w:jc w:val="center"/>
        <w:rPr>
          <w:szCs w:val="20"/>
          <w:lang w:val="en-GB"/>
        </w:rPr>
      </w:pPr>
      <w:r>
        <w:rPr>
          <w:szCs w:val="20"/>
          <w:lang w:val="en-GB"/>
        </w:rPr>
        <w:t>and</w:t>
      </w:r>
    </w:p>
    <w:p>
      <w:pPr>
        <w:rPr>
          <w:szCs w:val="20"/>
          <w:lang w:val="en-GB"/>
        </w:rPr>
      </w:pPr>
      <w:r>
        <w:rPr>
          <w:szCs w:val="20"/>
          <w:highlight w:val="yellow"/>
          <w:lang w:val="en-GB"/>
        </w:rPr>
        <w:t>[name of the Supplier]</w:t>
      </w:r>
      <w:r>
        <w:rPr>
          <w:szCs w:val="20"/>
          <w:lang w:val="en-GB"/>
        </w:rPr>
        <w:t xml:space="preserve"> with address as stated in section SCC </w:t>
      </w:r>
      <w:r>
        <w:rPr>
          <w:szCs w:val="20"/>
          <w:lang w:val="en-GB"/>
        </w:rPr>
        <w:fldChar w:fldCharType="begin"/>
      </w:r>
      <w:r>
        <w:rPr>
          <w:szCs w:val="20"/>
          <w:lang w:val="en-GB"/>
        </w:rPr>
        <w:instrText xml:space="preserve"> REF _Ref11845945 \r \h </w:instrText>
      </w:r>
      <w:r>
        <w:rPr>
          <w:szCs w:val="20"/>
          <w:lang w:val="en-GB"/>
        </w:rPr>
        <w:fldChar w:fldCharType="separate"/>
      </w:r>
      <w:r>
        <w:rPr>
          <w:szCs w:val="20"/>
          <w:lang w:val="en-GB"/>
        </w:rPr>
        <w:t>4</w:t>
      </w:r>
      <w:r>
        <w:rPr>
          <w:szCs w:val="20"/>
          <w:lang w:val="en-GB"/>
        </w:rPr>
        <w:fldChar w:fldCharType="end"/>
      </w:r>
      <w:r>
        <w:rPr>
          <w:szCs w:val="20"/>
          <w:lang w:val="en-GB"/>
        </w:rPr>
        <w:t xml:space="preserve"> (hereinafter referred to as the “Supplier”), </w:t>
      </w:r>
    </w:p>
    <w:p>
      <w:pPr>
        <w:rPr>
          <w:szCs w:val="20"/>
          <w:lang w:val="en-GB"/>
        </w:rPr>
      </w:pPr>
      <w:r>
        <w:rPr>
          <w:szCs w:val="20"/>
          <w:lang w:val="en-GB"/>
        </w:rPr>
        <w:t>together referred as the “Parties”.</w:t>
      </w:r>
    </w:p>
    <w:p>
      <w:pPr>
        <w:rPr>
          <w:szCs w:val="20"/>
          <w:lang w:val="en-GB"/>
        </w:rPr>
      </w:pPr>
      <w:r>
        <w:rPr>
          <w:szCs w:val="20"/>
          <w:lang w:val="en-GB"/>
        </w:rPr>
        <w:t>WHEREAS the Procuring Entity wishes to receive from the Supplier, and the Supplier is willing to provide to the Procuring Entity, the Goods as more fully defined hereinafter;</w:t>
      </w:r>
    </w:p>
    <w:p>
      <w:pPr>
        <w:rPr>
          <w:szCs w:val="20"/>
          <w:lang w:val="en-GB"/>
        </w:rPr>
      </w:pPr>
      <w:r>
        <w:rPr>
          <w:szCs w:val="20"/>
          <w:lang w:val="en-GB"/>
        </w:rPr>
        <w:t>WHEREAS the Supplier is ready and willing to accept the Contract with the Procuring Entity on the said terms and conditions</w:t>
      </w:r>
      <w:r>
        <w:rPr>
          <w:rFonts w:eastAsia="Malgun Gothic"/>
          <w:szCs w:val="20"/>
          <w:lang w:val="en-GB" w:eastAsia="ko-KR"/>
        </w:rPr>
        <w:t>;</w:t>
      </w:r>
    </w:p>
    <w:p>
      <w:pPr>
        <w:rPr>
          <w:szCs w:val="20"/>
          <w:lang w:val="en-GB"/>
        </w:rPr>
      </w:pPr>
      <w:r>
        <w:rPr>
          <w:szCs w:val="20"/>
          <w:lang w:val="en-GB"/>
        </w:rPr>
        <w:t>The Parties agree on what follows:</w:t>
      </w:r>
    </w:p>
    <w:p>
      <w:pPr>
        <w:pStyle w:val="3"/>
        <w:numPr>
          <w:ilvl w:val="0"/>
          <w:numId w:val="2"/>
        </w:numPr>
        <w:rPr>
          <w:lang w:val="en-GB"/>
        </w:rPr>
      </w:pPr>
      <w:bookmarkStart w:id="4" w:name="_Toc18147711"/>
      <w:bookmarkStart w:id="5" w:name="_Toc11850091"/>
      <w:bookmarkStart w:id="6" w:name="_Toc18597751"/>
      <w:r>
        <w:t>General</w:t>
      </w:r>
      <w:r>
        <w:rPr>
          <w:lang w:val="en-GB"/>
        </w:rPr>
        <w:t xml:space="preserve"> provisions</w:t>
      </w:r>
      <w:bookmarkEnd w:id="4"/>
      <w:bookmarkEnd w:id="5"/>
      <w:bookmarkEnd w:id="6"/>
    </w:p>
    <w:p>
      <w:pPr>
        <w:ind w:left="-6"/>
        <w:rPr>
          <w:lang w:val="en-GB"/>
        </w:rPr>
      </w:pPr>
      <w:r>
        <w:rPr>
          <w:lang w:val="en-GB"/>
        </w:rPr>
        <w:t>The following annexes form an integral part of the Contract.</w:t>
      </w:r>
    </w:p>
    <w:p>
      <w:pPr>
        <w:pStyle w:val="19"/>
        <w:numPr>
          <w:ilvl w:val="0"/>
          <w:numId w:val="3"/>
        </w:numPr>
        <w:rPr>
          <w:lang w:val="en-GB"/>
        </w:rPr>
      </w:pPr>
      <w:r>
        <w:rPr>
          <w:lang w:val="en-GB"/>
        </w:rPr>
        <w:t xml:space="preserve">Annex A – Condition for Supply of Goods; </w:t>
      </w:r>
    </w:p>
    <w:p>
      <w:pPr>
        <w:pStyle w:val="19"/>
        <w:numPr>
          <w:ilvl w:val="0"/>
          <w:numId w:val="3"/>
        </w:numPr>
        <w:rPr>
          <w:lang w:val="en-GB"/>
        </w:rPr>
      </w:pPr>
      <w:r>
        <w:rPr>
          <w:lang w:val="en-GB"/>
        </w:rPr>
        <w:t>Annex B – Specifications; and</w:t>
      </w:r>
    </w:p>
    <w:p>
      <w:pPr>
        <w:pStyle w:val="19"/>
        <w:numPr>
          <w:ilvl w:val="0"/>
          <w:numId w:val="3"/>
        </w:numPr>
        <w:rPr>
          <w:lang w:val="en-GB"/>
        </w:rPr>
      </w:pPr>
      <w:r>
        <w:rPr>
          <w:highlight w:val="yellow"/>
          <w:lang w:val="en-GB"/>
        </w:rPr>
        <w:t>Annex C – General Contract Conditions</w:t>
      </w:r>
      <w:r>
        <w:rPr>
          <w:lang w:val="en-GB"/>
        </w:rPr>
        <w:t>.</w:t>
      </w:r>
    </w:p>
    <w:p>
      <w:pPr>
        <w:pStyle w:val="3"/>
        <w:numPr>
          <w:ilvl w:val="0"/>
          <w:numId w:val="2"/>
        </w:numPr>
      </w:pPr>
      <w:bookmarkStart w:id="7" w:name="_Toc18597752"/>
      <w:bookmarkStart w:id="8" w:name="_Toc18147712"/>
      <w:r>
        <w:t>Scope of the Supply of Goods</w:t>
      </w:r>
      <w:bookmarkEnd w:id="7"/>
      <w:bookmarkEnd w:id="8"/>
    </w:p>
    <w:p>
      <w:pPr>
        <w:ind w:left="-6"/>
        <w:rPr>
          <w:szCs w:val="20"/>
          <w:lang w:val="en-GB"/>
        </w:rPr>
      </w:pPr>
      <w:r>
        <w:rPr>
          <w:szCs w:val="20"/>
          <w:lang w:val="en-GB"/>
        </w:rPr>
        <w:t>The Supplier shall provide the Goods described in Annex A to the SCC “Conditions for Supply of Goods” (the “Goods”) on the delivery date or dates (“Delivery Date or Dates”) and in accordance with the “Specifications” set out in Annex B to the SCC and shall remedy defects in conformity in all respects with the provisions of the Contract.</w:t>
      </w:r>
    </w:p>
    <w:p>
      <w:pPr>
        <w:pStyle w:val="3"/>
        <w:numPr>
          <w:ilvl w:val="0"/>
          <w:numId w:val="2"/>
        </w:numPr>
      </w:pPr>
      <w:bookmarkStart w:id="9" w:name="_Toc18597753"/>
      <w:bookmarkStart w:id="10" w:name="_Toc11850093"/>
      <w:bookmarkStart w:id="11" w:name="_Toc18147713"/>
      <w:r>
        <w:t>Payment</w:t>
      </w:r>
      <w:bookmarkEnd w:id="9"/>
      <w:bookmarkEnd w:id="10"/>
      <w:bookmarkEnd w:id="11"/>
    </w:p>
    <w:p>
      <w:pPr>
        <w:pStyle w:val="19"/>
        <w:numPr>
          <w:ilvl w:val="1"/>
          <w:numId w:val="2"/>
        </w:numPr>
        <w:ind w:left="426"/>
      </w:pPr>
      <w:r>
        <w:rPr>
          <w:szCs w:val="20"/>
          <w:lang w:val="en-GB"/>
        </w:rPr>
        <w:t>The Procuring Entity shall pay the Supplier in accordance with the terms of the Contract a total amount of AU$ [</w:t>
      </w:r>
      <w:r>
        <w:rPr>
          <w:szCs w:val="20"/>
          <w:highlight w:val="yellow"/>
          <w:lang w:val="en-GB"/>
        </w:rPr>
        <w:t>insert amount</w:t>
      </w:r>
      <w:r>
        <w:rPr>
          <w:szCs w:val="20"/>
          <w:lang w:val="en-GB"/>
        </w:rPr>
        <w:t>] (the “Contract Amount”).</w:t>
      </w:r>
    </w:p>
    <w:p>
      <w:pPr>
        <w:pStyle w:val="19"/>
        <w:numPr>
          <w:ilvl w:val="1"/>
          <w:numId w:val="2"/>
        </w:numPr>
        <w:ind w:left="426"/>
        <w:rPr>
          <w:szCs w:val="20"/>
          <w:highlight w:val="yellow"/>
          <w:lang w:val="en-GB"/>
        </w:rPr>
      </w:pPr>
      <w:r>
        <w:rPr>
          <w:szCs w:val="20"/>
          <w:lang w:val="en-GB"/>
        </w:rPr>
        <w:t xml:space="preserve">Upon submission of an appropriate invoice by Supplier in accordance with sections GCC 37 and GCC 40, the Contract Amount shall be paid in AU$ </w:t>
      </w:r>
      <w:r>
        <w:rPr>
          <w:szCs w:val="20"/>
          <w:highlight w:val="yellow"/>
          <w:lang w:val="en-GB"/>
        </w:rPr>
        <w:t>[in a lump sum [or] in accordance with the following payment schedule:</w:t>
      </w:r>
    </w:p>
    <w:p>
      <w:pPr>
        <w:ind w:left="993"/>
        <w:rPr>
          <w:szCs w:val="20"/>
          <w:highlight w:val="yellow"/>
          <w:u w:val="single"/>
          <w:lang w:val="en-GB"/>
        </w:rPr>
      </w:pPr>
      <w:r>
        <w:rPr>
          <w:szCs w:val="20"/>
          <w:highlight w:val="yellow"/>
          <w:u w:val="single"/>
          <w:lang w:val="en-GB"/>
        </w:rPr>
        <w:t>Payment</w:t>
      </w:r>
      <w:r>
        <w:rPr>
          <w:rFonts w:eastAsia="Malgun Gothic"/>
          <w:szCs w:val="20"/>
          <w:highlight w:val="yellow"/>
          <w:u w:val="single"/>
          <w:lang w:val="en-GB" w:eastAsia="ko-KR"/>
        </w:rPr>
        <w:t xml:space="preserve"> Schedule</w:t>
      </w:r>
      <w:r>
        <w:rPr>
          <w:szCs w:val="20"/>
          <w:highlight w:val="yellow"/>
          <w:u w:val="single"/>
          <w:lang w:val="en-GB"/>
        </w:rPr>
        <w:t>:</w:t>
      </w:r>
    </w:p>
    <w:p>
      <w:pPr>
        <w:ind w:left="993"/>
        <w:rPr>
          <w:szCs w:val="20"/>
          <w:highlight w:val="yellow"/>
          <w:lang w:val="en-GB"/>
        </w:rPr>
      </w:pPr>
      <w:r>
        <w:rPr>
          <w:szCs w:val="20"/>
          <w:highlight w:val="yellow"/>
          <w:lang w:val="en-GB"/>
        </w:rPr>
        <w:t>1</w:t>
      </w:r>
      <w:r>
        <w:rPr>
          <w:szCs w:val="20"/>
          <w:highlight w:val="yellow"/>
          <w:vertAlign w:val="superscript"/>
          <w:lang w:val="en-GB"/>
        </w:rPr>
        <w:t>st</w:t>
      </w:r>
      <w:r>
        <w:rPr>
          <w:szCs w:val="20"/>
          <w:highlight w:val="yellow"/>
          <w:lang w:val="en-GB"/>
        </w:rPr>
        <w:t>: (…)</w:t>
      </w:r>
    </w:p>
    <w:p>
      <w:pPr>
        <w:ind w:left="993"/>
        <w:rPr>
          <w:szCs w:val="20"/>
          <w:highlight w:val="yellow"/>
          <w:lang w:val="en-GB"/>
        </w:rPr>
      </w:pPr>
      <w:r>
        <w:rPr>
          <w:szCs w:val="20"/>
          <w:highlight w:val="yellow"/>
          <w:lang w:val="en-GB"/>
        </w:rPr>
        <w:t>2</w:t>
      </w:r>
      <w:r>
        <w:rPr>
          <w:szCs w:val="20"/>
          <w:highlight w:val="yellow"/>
          <w:vertAlign w:val="superscript"/>
          <w:lang w:val="en-GB"/>
        </w:rPr>
        <w:t>nd</w:t>
      </w:r>
      <w:r>
        <w:rPr>
          <w:szCs w:val="20"/>
          <w:highlight w:val="yellow"/>
          <w:lang w:val="en-GB"/>
        </w:rPr>
        <w:t>: (…)</w:t>
      </w:r>
    </w:p>
    <w:p>
      <w:pPr>
        <w:ind w:left="993"/>
        <w:rPr>
          <w:szCs w:val="20"/>
          <w:lang w:val="en-GB"/>
        </w:rPr>
      </w:pPr>
      <w:r>
        <w:rPr>
          <w:szCs w:val="20"/>
          <w:highlight w:val="yellow"/>
          <w:lang w:val="en-GB"/>
        </w:rPr>
        <w:t>3</w:t>
      </w:r>
      <w:r>
        <w:rPr>
          <w:szCs w:val="20"/>
          <w:highlight w:val="yellow"/>
          <w:vertAlign w:val="superscript"/>
          <w:lang w:val="en-GB"/>
        </w:rPr>
        <w:t>rd</w:t>
      </w:r>
      <w:r>
        <w:rPr>
          <w:szCs w:val="20"/>
          <w:highlight w:val="yellow"/>
          <w:lang w:val="en-GB"/>
        </w:rPr>
        <w:t>: (…)]</w:t>
      </w:r>
    </w:p>
    <w:p>
      <w:pPr>
        <w:pStyle w:val="19"/>
        <w:numPr>
          <w:ilvl w:val="1"/>
          <w:numId w:val="2"/>
        </w:numPr>
        <w:ind w:left="426"/>
        <w:rPr>
          <w:szCs w:val="20"/>
          <w:lang w:val="en-GB"/>
        </w:rPr>
      </w:pPr>
      <w:r>
        <w:rPr>
          <w:szCs w:val="20"/>
          <w:lang w:val="en-GB"/>
        </w:rPr>
        <w:t>The Supplier shall have sole responsibility 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pPr>
        <w:pStyle w:val="19"/>
        <w:numPr>
          <w:ilvl w:val="1"/>
          <w:numId w:val="2"/>
        </w:numPr>
        <w:ind w:left="426"/>
        <w:rPr>
          <w:szCs w:val="20"/>
          <w:lang w:val="en-GB"/>
        </w:rPr>
      </w:pPr>
      <w:r>
        <w:rPr>
          <w:szCs w:val="20"/>
          <w:lang w:val="en-GB"/>
        </w:rPr>
        <w:t xml:space="preserve">Payment shall be made to the bank account of the Supplier as specified in section SCC </w:t>
      </w:r>
      <w:r>
        <w:rPr>
          <w:szCs w:val="20"/>
          <w:lang w:val="en-GB"/>
        </w:rPr>
        <w:fldChar w:fldCharType="begin"/>
      </w:r>
      <w:r>
        <w:rPr>
          <w:szCs w:val="20"/>
          <w:lang w:val="en-GB"/>
        </w:rPr>
        <w:instrText xml:space="preserve"> REF _Ref18489902 \r \h </w:instrText>
      </w:r>
      <w:r>
        <w:rPr>
          <w:szCs w:val="20"/>
          <w:lang w:val="en-GB"/>
        </w:rPr>
        <w:fldChar w:fldCharType="separate"/>
      </w:r>
      <w:r>
        <w:rPr>
          <w:szCs w:val="20"/>
          <w:lang w:val="en-GB"/>
        </w:rPr>
        <w:t>4</w:t>
      </w:r>
      <w:r>
        <w:rPr>
          <w:szCs w:val="20"/>
          <w:lang w:val="en-GB"/>
        </w:rPr>
        <w:fldChar w:fldCharType="end"/>
      </w:r>
      <w:r>
        <w:rPr>
          <w:szCs w:val="20"/>
          <w:lang w:val="en-GB"/>
        </w:rPr>
        <w:t>.</w:t>
      </w:r>
    </w:p>
    <w:p>
      <w:pPr>
        <w:spacing w:before="0" w:after="160" w:line="259" w:lineRule="auto"/>
        <w:jc w:val="left"/>
        <w:rPr>
          <w:rFonts w:eastAsiaTheme="majorEastAsia" w:cstheme="majorBidi"/>
          <w:b/>
        </w:rPr>
      </w:pPr>
      <w:bookmarkStart w:id="12" w:name="_Toc18597491"/>
      <w:bookmarkEnd w:id="12"/>
      <w:bookmarkStart w:id="13" w:name="_Toc18597756"/>
      <w:bookmarkEnd w:id="13"/>
      <w:bookmarkStart w:id="14" w:name="_Toc18597525"/>
      <w:bookmarkEnd w:id="14"/>
      <w:bookmarkStart w:id="15" w:name="_Toc18597755"/>
      <w:bookmarkEnd w:id="15"/>
      <w:bookmarkStart w:id="16" w:name="_Toc18597492"/>
      <w:bookmarkEnd w:id="16"/>
      <w:bookmarkStart w:id="17" w:name="_Toc18597526"/>
      <w:bookmarkEnd w:id="17"/>
      <w:bookmarkStart w:id="18" w:name="_Toc18597766"/>
      <w:bookmarkEnd w:id="18"/>
      <w:bookmarkStart w:id="19" w:name="_Toc18597758"/>
      <w:bookmarkEnd w:id="19"/>
      <w:bookmarkStart w:id="20" w:name="_Toc18597537"/>
      <w:bookmarkEnd w:id="20"/>
      <w:bookmarkStart w:id="21" w:name="_Toc18597494"/>
      <w:bookmarkEnd w:id="21"/>
      <w:bookmarkStart w:id="22" w:name="_Toc18597530"/>
      <w:bookmarkEnd w:id="22"/>
      <w:bookmarkStart w:id="23" w:name="_Toc18597760"/>
      <w:bookmarkEnd w:id="23"/>
      <w:bookmarkStart w:id="24" w:name="_Toc18597498"/>
      <w:bookmarkEnd w:id="24"/>
      <w:bookmarkStart w:id="25" w:name="_Toc18597496"/>
      <w:bookmarkEnd w:id="25"/>
      <w:bookmarkStart w:id="26" w:name="_Toc18597763"/>
      <w:bookmarkEnd w:id="26"/>
      <w:bookmarkStart w:id="27" w:name="_Toc18597500"/>
      <w:bookmarkEnd w:id="27"/>
      <w:bookmarkStart w:id="28" w:name="_Toc18597535"/>
      <w:bookmarkEnd w:id="28"/>
      <w:bookmarkStart w:id="29" w:name="_Toc18597527"/>
      <w:bookmarkEnd w:id="29"/>
      <w:bookmarkStart w:id="30" w:name="_Toc18597503"/>
      <w:bookmarkEnd w:id="30"/>
      <w:bookmarkStart w:id="31" w:name="_Toc18597767"/>
      <w:bookmarkEnd w:id="31"/>
      <w:bookmarkStart w:id="32" w:name="_Toc18597499"/>
      <w:bookmarkEnd w:id="32"/>
      <w:bookmarkStart w:id="33" w:name="_Toc18597505"/>
      <w:bookmarkEnd w:id="33"/>
      <w:bookmarkStart w:id="34" w:name="_Toc18597539"/>
      <w:bookmarkEnd w:id="34"/>
      <w:bookmarkStart w:id="35" w:name="_Toc18597493"/>
      <w:bookmarkEnd w:id="35"/>
      <w:bookmarkStart w:id="36" w:name="_Toc18597497"/>
      <w:bookmarkEnd w:id="36"/>
      <w:bookmarkStart w:id="37" w:name="_Toc18597531"/>
      <w:bookmarkEnd w:id="37"/>
      <w:bookmarkStart w:id="38" w:name="_Toc18597528"/>
      <w:bookmarkEnd w:id="38"/>
      <w:bookmarkStart w:id="39" w:name="_Toc18597762"/>
      <w:bookmarkEnd w:id="39"/>
      <w:bookmarkStart w:id="40" w:name="_Toc18597534"/>
      <w:bookmarkEnd w:id="40"/>
      <w:bookmarkStart w:id="41" w:name="_Toc18597764"/>
      <w:bookmarkEnd w:id="41"/>
      <w:bookmarkStart w:id="42" w:name="_Toc18597502"/>
      <w:bookmarkEnd w:id="42"/>
      <w:bookmarkStart w:id="43" w:name="_Toc18597532"/>
      <w:bookmarkEnd w:id="43"/>
      <w:bookmarkStart w:id="44" w:name="_Toc18597765"/>
      <w:bookmarkEnd w:id="44"/>
      <w:bookmarkStart w:id="45" w:name="_Toc18597536"/>
      <w:bookmarkEnd w:id="45"/>
      <w:bookmarkStart w:id="46" w:name="_Toc18597757"/>
      <w:bookmarkEnd w:id="46"/>
      <w:bookmarkStart w:id="47" w:name="_Toc18597761"/>
      <w:bookmarkEnd w:id="47"/>
      <w:bookmarkStart w:id="48" w:name="_Toc18597533"/>
      <w:bookmarkEnd w:id="48"/>
      <w:bookmarkStart w:id="49" w:name="_Toc18597501"/>
      <w:bookmarkEnd w:id="49"/>
      <w:bookmarkStart w:id="50" w:name="_Toc18597770"/>
      <w:bookmarkEnd w:id="50"/>
      <w:bookmarkStart w:id="51" w:name="_Toc18597506"/>
      <w:bookmarkEnd w:id="51"/>
      <w:bookmarkStart w:id="52" w:name="_Toc18597769"/>
      <w:bookmarkEnd w:id="52"/>
      <w:bookmarkStart w:id="53" w:name="_Toc18597540"/>
      <w:bookmarkEnd w:id="53"/>
      <w:bookmarkStart w:id="54" w:name="_Toc18147717"/>
      <w:bookmarkStart w:id="55" w:name="_Ref11845945"/>
      <w:bookmarkStart w:id="56" w:name="_Toc11850094"/>
      <w:bookmarkStart w:id="57" w:name="_Ref18489902"/>
      <w:bookmarkStart w:id="58" w:name="_Toc18597771"/>
      <w:r>
        <w:br w:type="page"/>
      </w:r>
    </w:p>
    <w:p>
      <w:pPr>
        <w:pStyle w:val="3"/>
        <w:numPr>
          <w:ilvl w:val="0"/>
          <w:numId w:val="2"/>
        </w:numPr>
      </w:pPr>
      <w:r>
        <w:t>Official Addresses for Notices and Requests</w:t>
      </w:r>
      <w:bookmarkEnd w:id="54"/>
      <w:bookmarkEnd w:id="55"/>
      <w:bookmarkEnd w:id="56"/>
      <w:bookmarkEnd w:id="57"/>
      <w:bookmarkEnd w:id="58"/>
    </w:p>
    <w:p>
      <w:pPr>
        <w:ind w:left="-6"/>
        <w:rPr>
          <w:szCs w:val="20"/>
          <w:lang w:val="en-GB"/>
        </w:rPr>
      </w:pPr>
      <w:r>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pPr>
        <w:pStyle w:val="9"/>
        <w:rPr>
          <w:lang w:val="en-GB"/>
        </w:rPr>
      </w:pPr>
      <w:r>
        <w:rPr>
          <w:lang w:val="en-GB"/>
        </w:rPr>
        <w:t xml:space="preserve">For </w:t>
      </w:r>
      <w:r>
        <w:rPr>
          <w:lang w:val="en-GB" w:eastAsia="ko-KR"/>
        </w:rPr>
        <w:t>the Procuring Entity</w:t>
      </w:r>
      <w:r>
        <w:rPr>
          <w:lang w:val="en-GB"/>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Address</w:t>
            </w:r>
          </w:p>
        </w:tc>
        <w:tc>
          <w:tcPr>
            <w:tcW w:w="6884" w:type="dxa"/>
          </w:tcPr>
          <w:p>
            <w:pPr>
              <w:rPr>
                <w:rFonts w:eastAsia="MS Mincho"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Country</w:t>
            </w:r>
          </w:p>
        </w:tc>
        <w:tc>
          <w:tcPr>
            <w:tcW w:w="6884" w:type="dxa"/>
          </w:tcPr>
          <w:p>
            <w:pPr>
              <w:rPr>
                <w:rFonts w:eastAsia="MS Mincho" w:cs="Times New Roman"/>
                <w:szCs w:val="20"/>
                <w:lang w:val="en-GB"/>
              </w:rPr>
            </w:pPr>
            <w:r>
              <w:rPr>
                <w:rFonts w:eastAsia="MS Mincho" w:cs="Times New Roman"/>
                <w:szCs w:val="20"/>
                <w:lang w:val="en-GB"/>
              </w:rPr>
              <w:t>Republic of Kiribati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Attention of</w:t>
            </w:r>
          </w:p>
        </w:tc>
        <w:tc>
          <w:tcPr>
            <w:tcW w:w="6884" w:type="dxa"/>
          </w:tcPr>
          <w:p>
            <w:pPr>
              <w:rPr>
                <w:rFonts w:eastAsia="MS Mincho" w:cs="Times New Roman"/>
                <w:szCs w:val="20"/>
                <w:lang w:val="en-GB"/>
              </w:rPr>
            </w:pPr>
            <w:r>
              <w:rPr>
                <w:rFonts w:eastAsia="MS Mincho" w:cs="Times New Roman"/>
                <w:b/>
                <w:szCs w:val="20"/>
                <w:highlight w:val="yellow"/>
                <w:lang w:val="en-GB"/>
              </w:rPr>
              <w:t>[authorised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e-mail</w:t>
            </w:r>
          </w:p>
        </w:tc>
        <w:tc>
          <w:tcPr>
            <w:tcW w:w="6884" w:type="dxa"/>
          </w:tcPr>
          <w:p>
            <w:pPr>
              <w:rPr>
                <w:rFonts w:eastAsia="MS Mincho"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Phone</w:t>
            </w:r>
          </w:p>
        </w:tc>
        <w:tc>
          <w:tcPr>
            <w:tcW w:w="6884" w:type="dxa"/>
          </w:tcPr>
          <w:p>
            <w:pPr>
              <w:rPr>
                <w:rFonts w:eastAsia="MS Mincho" w:cs="Times New Roman"/>
                <w:szCs w:val="20"/>
                <w:lang w:val="en-GB"/>
              </w:rPr>
            </w:pPr>
          </w:p>
        </w:tc>
      </w:tr>
    </w:tbl>
    <w:p>
      <w:pPr>
        <w:pStyle w:val="9"/>
        <w:rPr>
          <w:lang w:val="en-GB"/>
        </w:rPr>
      </w:pPr>
      <w:r>
        <w:rPr>
          <w:lang w:val="en-GB"/>
        </w:rPr>
        <w:t xml:space="preserve">For the </w:t>
      </w:r>
      <w:r>
        <w:rPr>
          <w:rFonts w:eastAsia="Malgun Gothic"/>
          <w:lang w:val="en-GB" w:eastAsia="ko-KR"/>
        </w:rPr>
        <w:t>Supplier:</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Address</w:t>
            </w:r>
          </w:p>
        </w:tc>
        <w:tc>
          <w:tcPr>
            <w:tcW w:w="6884" w:type="dxa"/>
          </w:tcPr>
          <w:p>
            <w:pPr>
              <w:rPr>
                <w:rFonts w:eastAsia="MS Mincho"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Country</w:t>
            </w:r>
          </w:p>
        </w:tc>
        <w:tc>
          <w:tcPr>
            <w:tcW w:w="6884" w:type="dxa"/>
          </w:tcPr>
          <w:p>
            <w:pPr>
              <w:rPr>
                <w:rFonts w:eastAsia="MS Mincho"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Attention of</w:t>
            </w:r>
          </w:p>
        </w:tc>
        <w:tc>
          <w:tcPr>
            <w:tcW w:w="6884" w:type="dxa"/>
          </w:tcPr>
          <w:p>
            <w:pPr>
              <w:rPr>
                <w:rFonts w:eastAsia="MS Mincho" w:cs="Times New Roman"/>
                <w:szCs w:val="20"/>
                <w:lang w:val="en-GB"/>
              </w:rPr>
            </w:pPr>
            <w:r>
              <w:rPr>
                <w:rFonts w:eastAsia="MS Mincho" w:cs="Times New Roman"/>
                <w:b/>
                <w:szCs w:val="20"/>
                <w:highlight w:val="yellow"/>
                <w:lang w:val="en-GB"/>
              </w:rPr>
              <w:t>[authorised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e-mail</w:t>
            </w:r>
          </w:p>
        </w:tc>
        <w:tc>
          <w:tcPr>
            <w:tcW w:w="6884" w:type="dxa"/>
          </w:tcPr>
          <w:p>
            <w:pPr>
              <w:rPr>
                <w:rFonts w:eastAsia="MS Mincho"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cs="Times New Roman"/>
                <w:szCs w:val="20"/>
                <w:lang w:val="en-GB"/>
              </w:rPr>
            </w:pPr>
            <w:r>
              <w:rPr>
                <w:rFonts w:eastAsia="MS Mincho" w:cs="Times New Roman"/>
                <w:szCs w:val="20"/>
                <w:lang w:val="en-GB"/>
              </w:rPr>
              <w:t>Phone</w:t>
            </w:r>
          </w:p>
        </w:tc>
        <w:tc>
          <w:tcPr>
            <w:tcW w:w="6884" w:type="dxa"/>
          </w:tcPr>
          <w:p>
            <w:pPr>
              <w:rPr>
                <w:rFonts w:eastAsia="MS Mincho" w:cs="Times New Roman"/>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13" w:type="dxa"/>
          </w:tcPr>
          <w:p>
            <w:pPr>
              <w:rPr>
                <w:rFonts w:eastAsia="MS Mincho" w:cs="Times New Roman"/>
                <w:szCs w:val="20"/>
                <w:lang w:val="en-GB"/>
              </w:rPr>
            </w:pPr>
            <w:r>
              <w:rPr>
                <w:rFonts w:eastAsia="MS Mincho" w:cs="Times New Roman"/>
                <w:szCs w:val="20"/>
                <w:lang w:val="en-GB"/>
              </w:rPr>
              <w:t>Bank account details</w:t>
            </w:r>
          </w:p>
        </w:tc>
        <w:tc>
          <w:tcPr>
            <w:tcW w:w="6884" w:type="dxa"/>
          </w:tcPr>
          <w:p>
            <w:pPr>
              <w:rPr>
                <w:rFonts w:eastAsia="MS Mincho" w:cs="Times New Roman"/>
                <w:szCs w:val="20"/>
                <w:lang w:val="en-GB"/>
              </w:rPr>
            </w:pPr>
          </w:p>
        </w:tc>
      </w:tr>
    </w:tbl>
    <w:p>
      <w:pPr>
        <w:pStyle w:val="3"/>
        <w:numPr>
          <w:ilvl w:val="0"/>
          <w:numId w:val="2"/>
        </w:numPr>
      </w:pPr>
      <w:bookmarkStart w:id="59" w:name="_Toc11850095"/>
      <w:bookmarkStart w:id="60" w:name="_Toc18147718"/>
      <w:bookmarkStart w:id="61" w:name="_Toc18597772"/>
      <w:r>
        <w:t xml:space="preserve">Rights and Obligations of the </w:t>
      </w:r>
      <w:bookmarkEnd w:id="59"/>
      <w:r>
        <w:t>Supplier</w:t>
      </w:r>
      <w:bookmarkEnd w:id="60"/>
      <w:bookmarkEnd w:id="61"/>
    </w:p>
    <w:p>
      <w:pPr>
        <w:ind w:left="-6"/>
        <w:rPr>
          <w:szCs w:val="20"/>
          <w:lang w:val="en-GB"/>
        </w:rPr>
      </w:pPr>
      <w:r>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pPr>
        <w:pStyle w:val="3"/>
        <w:numPr>
          <w:ilvl w:val="0"/>
          <w:numId w:val="2"/>
        </w:numPr>
      </w:pPr>
      <w:bookmarkStart w:id="62" w:name="_Toc18597773"/>
      <w:bookmarkStart w:id="63" w:name="_Toc18147719"/>
      <w:bookmarkStart w:id="64" w:name="_Ref11848941"/>
      <w:bookmarkStart w:id="65" w:name="_Toc11850096"/>
      <w:r>
        <w:t>Effectiveness</w:t>
      </w:r>
      <w:bookmarkEnd w:id="62"/>
      <w:bookmarkEnd w:id="63"/>
      <w:bookmarkEnd w:id="64"/>
      <w:bookmarkEnd w:id="65"/>
    </w:p>
    <w:p>
      <w:pPr>
        <w:ind w:left="-6"/>
        <w:rPr>
          <w:szCs w:val="20"/>
          <w:lang w:val="en-GB"/>
        </w:rPr>
      </w:pPr>
      <w:r>
        <w:rPr>
          <w:szCs w:val="20"/>
          <w:lang w:val="en-GB"/>
        </w:rPr>
        <w:t xml:space="preserve">The Contract shall become effective, as per section GCC </w:t>
      </w:r>
      <w:r>
        <w:rPr>
          <w:szCs w:val="20"/>
          <w:lang w:val="en-GB"/>
        </w:rPr>
        <w:fldChar w:fldCharType="begin"/>
      </w:r>
      <w:r>
        <w:rPr>
          <w:szCs w:val="20"/>
          <w:lang w:val="en-GB"/>
        </w:rPr>
        <w:instrText xml:space="preserve"> REF _Ref11832056 \r \h  \* MERGEFORMAT </w:instrText>
      </w:r>
      <w:r>
        <w:rPr>
          <w:szCs w:val="20"/>
          <w:lang w:val="en-GB"/>
        </w:rPr>
        <w:fldChar w:fldCharType="separate"/>
      </w:r>
      <w:r>
        <w:rPr>
          <w:szCs w:val="20"/>
          <w:lang w:val="en-GB"/>
        </w:rPr>
        <w:fldChar w:fldCharType="begin"/>
      </w:r>
      <w:r>
        <w:rPr>
          <w:szCs w:val="20"/>
          <w:lang w:val="en-GB"/>
        </w:rPr>
        <w:instrText xml:space="preserve"> REF _Ref12362149 \r \h </w:instrText>
      </w:r>
      <w:r>
        <w:rPr>
          <w:szCs w:val="20"/>
          <w:lang w:val="en-GB"/>
        </w:rPr>
        <w:fldChar w:fldCharType="separate"/>
      </w:r>
      <w:r>
        <w:rPr>
          <w:szCs w:val="20"/>
          <w:lang w:val="en-GB"/>
        </w:rPr>
        <w:t>9</w:t>
      </w:r>
      <w:r>
        <w:rPr>
          <w:szCs w:val="20"/>
          <w:lang w:val="en-GB"/>
        </w:rPr>
        <w:fldChar w:fldCharType="end"/>
      </w:r>
      <w:r>
        <w:rPr>
          <w:szCs w:val="20"/>
          <w:lang w:val="en-GB"/>
        </w:rPr>
        <w:t>.</w:t>
      </w:r>
      <w:r>
        <w:rPr>
          <w:szCs w:val="20"/>
          <w:lang w:val="en-GB"/>
        </w:rPr>
        <w:fldChar w:fldCharType="end"/>
      </w:r>
      <w:r>
        <w:rPr>
          <w:szCs w:val="20"/>
          <w:lang w:val="en-GB"/>
        </w:rPr>
        <w:t xml:space="preser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section GCC 18 and section GCC </w:t>
      </w:r>
      <w:r>
        <w:rPr>
          <w:szCs w:val="20"/>
          <w:lang w:val="en-GB"/>
        </w:rPr>
        <w:fldChar w:fldCharType="begin"/>
      </w:r>
      <w:r>
        <w:rPr>
          <w:szCs w:val="20"/>
          <w:lang w:val="en-GB"/>
        </w:rPr>
        <w:instrText xml:space="preserve"> REF _Ref11853726 \r \h  \* MERGEFORMAT </w:instrText>
      </w:r>
      <w:r>
        <w:rPr>
          <w:szCs w:val="20"/>
          <w:lang w:val="en-GB"/>
        </w:rPr>
        <w:fldChar w:fldCharType="separate"/>
      </w:r>
      <w:r>
        <w:rPr>
          <w:szCs w:val="20"/>
          <w:lang w:val="en-GB"/>
        </w:rPr>
        <w:t>19</w:t>
      </w:r>
      <w:r>
        <w:rPr>
          <w:szCs w:val="20"/>
          <w:lang w:val="en-GB"/>
        </w:rPr>
        <w:fldChar w:fldCharType="end"/>
      </w:r>
      <w:r>
        <w:rPr>
          <w:szCs w:val="20"/>
          <w:lang w:val="en-GB"/>
        </w:rPr>
        <w:t>.</w:t>
      </w:r>
    </w:p>
    <w:p>
      <w:pPr>
        <w:pStyle w:val="3"/>
        <w:numPr>
          <w:ilvl w:val="0"/>
          <w:numId w:val="2"/>
        </w:numPr>
      </w:pPr>
      <w:bookmarkStart w:id="66" w:name="_Toc18147720"/>
      <w:bookmarkStart w:id="67" w:name="_Toc11850097"/>
      <w:bookmarkStart w:id="68" w:name="_Ref11847469"/>
      <w:bookmarkStart w:id="69" w:name="_Toc18597774"/>
      <w:r>
        <w:t>Duration of the Contract</w:t>
      </w:r>
      <w:bookmarkEnd w:id="66"/>
      <w:bookmarkEnd w:id="67"/>
      <w:bookmarkEnd w:id="68"/>
      <w:bookmarkEnd w:id="69"/>
    </w:p>
    <w:p>
      <w:pPr>
        <w:ind w:left="-6"/>
        <w:rPr>
          <w:szCs w:val="20"/>
          <w:lang w:val="en-GB"/>
        </w:rPr>
      </w:pPr>
      <w:r>
        <w:rPr>
          <w:szCs w:val="20"/>
          <w:lang w:val="en-GB"/>
        </w:rPr>
        <w:t>The Contract shall have an overall duration of [</w:t>
      </w:r>
      <w:r>
        <w:rPr>
          <w:szCs w:val="20"/>
          <w:highlight w:val="yellow"/>
          <w:lang w:val="en-GB"/>
        </w:rPr>
        <w:t>specify duration in years / months / days or date of termination</w:t>
      </w:r>
      <w:r>
        <w:rPr>
          <w:szCs w:val="20"/>
          <w:lang w:val="en-GB"/>
        </w:rPr>
        <w:t>] in line with Annex A.</w:t>
      </w:r>
      <w:bookmarkStart w:id="70" w:name="_Hlk530478639"/>
    </w:p>
    <w:p>
      <w:pPr>
        <w:pStyle w:val="3"/>
        <w:numPr>
          <w:ilvl w:val="0"/>
          <w:numId w:val="2"/>
        </w:numPr>
        <w:rPr>
          <w:highlight w:val="yellow"/>
        </w:rPr>
      </w:pPr>
      <w:r>
        <w:rPr>
          <w:highlight w:val="yellow"/>
        </w:rPr>
        <w:t>Special Conditions</w:t>
      </w:r>
    </w:p>
    <w:p>
      <w:pPr>
        <w:ind w:left="-6"/>
        <w:rPr>
          <w:szCs w:val="20"/>
          <w:highlight w:val="yellow"/>
          <w:lang w:val="en-GB"/>
        </w:rPr>
      </w:pPr>
      <w:r>
        <w:rPr>
          <w:szCs w:val="20"/>
          <w:highlight w:val="yellow"/>
          <w:lang w:val="en-GB"/>
        </w:rPr>
        <w:t>The following Special Conditions have been agreed by the Parties, and shall replace the referred section of the General Conditions of Contract, wholly or partly, as described below</w:t>
      </w:r>
    </w:p>
    <w:p>
      <w:pPr>
        <w:ind w:left="-6"/>
        <w:rPr>
          <w:szCs w:val="20"/>
          <w:highlight w:val="yellow"/>
          <w:lang w:val="en-GB"/>
        </w:rPr>
      </w:pPr>
      <w:r>
        <w:rPr>
          <w:szCs w:val="20"/>
          <w:highlight w:val="yellow"/>
          <w:lang w:val="en-GB"/>
        </w:rPr>
        <w:t>[…]</w:t>
      </w:r>
    </w:p>
    <w:p>
      <w:pPr>
        <w:spacing w:before="360" w:after="360"/>
        <w:jc w:val="center"/>
        <w:rPr>
          <w:lang w:val="en-GB"/>
        </w:rPr>
      </w:pPr>
      <w:r>
        <w:rPr>
          <w:lang w:val="en-GB"/>
        </w:rPr>
        <w:t>* * * * *</w:t>
      </w:r>
    </w:p>
    <w:p>
      <w:pPr>
        <w:tabs>
          <w:tab w:val="left" w:pos="4253"/>
        </w:tabs>
        <w:rPr>
          <w:rFonts w:eastAsia="Malgun Gothic"/>
          <w:b/>
          <w:bCs/>
          <w:lang w:val="en-GB" w:eastAsia="ko-KR"/>
        </w:rPr>
      </w:pPr>
      <w:r>
        <w:rPr>
          <w:b/>
          <w:bCs/>
          <w:lang w:val="en-GB"/>
        </w:rPr>
        <w:t>FOR THE PROCURING ENTITY</w:t>
      </w:r>
      <w:r>
        <w:rPr>
          <w:b/>
          <w:bCs/>
          <w:lang w:val="en-GB"/>
        </w:rPr>
        <w:tab/>
      </w:r>
      <w:r>
        <w:rPr>
          <w:b/>
          <w:bCs/>
          <w:lang w:val="en-GB"/>
        </w:rPr>
        <w:t xml:space="preserve">FOR THE </w:t>
      </w:r>
      <w:r>
        <w:rPr>
          <w:rFonts w:eastAsia="Malgun Gothic"/>
          <w:b/>
          <w:bCs/>
          <w:lang w:val="en-GB" w:eastAsia="ko-KR"/>
        </w:rPr>
        <w:t>SUPPLIER</w:t>
      </w:r>
    </w:p>
    <w:bookmarkEnd w:id="70"/>
    <w:p>
      <w:pPr>
        <w:tabs>
          <w:tab w:val="left" w:pos="4253"/>
        </w:tabs>
        <w:rPr>
          <w:bCs/>
          <w:lang w:val="en-GB"/>
        </w:rPr>
      </w:pPr>
      <w:r>
        <w:rPr>
          <w:bCs/>
          <w:lang w:val="en-GB"/>
        </w:rPr>
        <w:t>(date, name and signature)</w:t>
      </w:r>
      <w:r>
        <w:rPr>
          <w:bCs/>
          <w:lang w:val="en-GB"/>
        </w:rPr>
        <w:tab/>
      </w:r>
      <w:r>
        <w:rPr>
          <w:bCs/>
          <w:lang w:val="en-GB"/>
        </w:rPr>
        <w:t>(date, name and signature)</w:t>
      </w:r>
    </w:p>
    <w:p>
      <w:pPr>
        <w:tabs>
          <w:tab w:val="left" w:pos="4253"/>
        </w:tabs>
        <w:spacing w:before="600"/>
        <w:rPr>
          <w:bCs/>
          <w:lang w:val="en-GB"/>
        </w:rPr>
      </w:pPr>
      <w:r>
        <w:rPr>
          <w:bCs/>
          <w:lang w:val="en-GB"/>
        </w:rPr>
        <w:t>-------------------------------------------------------</w:t>
      </w:r>
      <w:r>
        <w:rPr>
          <w:bCs/>
          <w:lang w:val="en-GB"/>
        </w:rPr>
        <w:tab/>
      </w:r>
      <w:r>
        <w:rPr>
          <w:bCs/>
          <w:lang w:val="en-GB"/>
        </w:rPr>
        <w:t>-------------------------------------------------------</w:t>
      </w:r>
    </w:p>
    <w:p>
      <w:pPr>
        <w:spacing w:before="0" w:after="160" w:line="259" w:lineRule="auto"/>
        <w:jc w:val="left"/>
        <w:rPr>
          <w:rFonts w:eastAsiaTheme="majorEastAsia" w:cstheme="majorBidi"/>
          <w:b/>
          <w:sz w:val="24"/>
          <w:szCs w:val="32"/>
          <w:lang w:val="en-GB"/>
        </w:rPr>
      </w:pPr>
      <w:bookmarkStart w:id="71" w:name="_Toc18597775"/>
      <w:bookmarkStart w:id="72" w:name="_Toc18147721"/>
      <w:r>
        <w:rPr>
          <w:lang w:val="en-GB"/>
        </w:rPr>
        <w:br w:type="page"/>
      </w:r>
    </w:p>
    <w:p>
      <w:pPr>
        <w:pStyle w:val="2"/>
        <w:rPr>
          <w:lang w:val="en-GB"/>
        </w:rPr>
      </w:pPr>
      <w:r>
        <w:rPr>
          <w:lang w:val="en-GB"/>
        </w:rPr>
        <w:t>ANNEX A – CONDITIONS FOR SUPPLY OF GOODS</w:t>
      </w:r>
      <w:bookmarkEnd w:id="71"/>
      <w:bookmarkEnd w:id="72"/>
    </w:p>
    <w:p>
      <w:pPr>
        <w:pStyle w:val="3"/>
        <w:rPr>
          <w:lang w:val="en-GB"/>
        </w:rPr>
      </w:pPr>
      <w:bookmarkStart w:id="73" w:name="_Toc18147722"/>
      <w:bookmarkStart w:id="74" w:name="_Toc18597776"/>
      <w:r>
        <w:rPr>
          <w:lang w:val="en-GB"/>
        </w:rPr>
        <w:t xml:space="preserve">Goods to be </w:t>
      </w:r>
      <w:r>
        <w:t>supplied</w:t>
      </w:r>
      <w:bookmarkEnd w:id="73"/>
      <w:bookmarkEnd w:id="74"/>
    </w:p>
    <w:p>
      <w:pPr>
        <w:ind w:left="45"/>
        <w:rPr>
          <w:i/>
          <w:szCs w:val="20"/>
          <w:highlight w:val="yellow"/>
          <w:lang w:val="en-GB" w:eastAsia="ko-KR"/>
        </w:rPr>
      </w:pPr>
      <w:r>
        <w:rPr>
          <w:i/>
          <w:szCs w:val="20"/>
          <w:highlight w:val="yellow"/>
          <w:lang w:val="en-GB" w:eastAsia="ko-KR"/>
        </w:rPr>
        <w:t>brief description of goods</w:t>
      </w:r>
    </w:p>
    <w:p>
      <w:pPr>
        <w:rPr>
          <w:lang w:val="en-GB"/>
        </w:rPr>
      </w:pPr>
    </w:p>
    <w:p>
      <w:pPr>
        <w:pStyle w:val="3"/>
        <w:rPr>
          <w:lang w:val="en-GB"/>
        </w:rPr>
      </w:pPr>
      <w:bookmarkStart w:id="75" w:name="_Toc18597777"/>
      <w:bookmarkStart w:id="76" w:name="_Toc18147723"/>
      <w:r>
        <w:rPr>
          <w:lang w:val="en-GB"/>
        </w:rPr>
        <w:t>Delivery date(s)</w:t>
      </w:r>
      <w:bookmarkEnd w:id="75"/>
      <w:bookmarkEnd w:id="76"/>
    </w:p>
    <w:p>
      <w:pPr>
        <w:ind w:left="45"/>
        <w:rPr>
          <w:i/>
          <w:szCs w:val="20"/>
          <w:highlight w:val="yellow"/>
          <w:lang w:val="en-GB" w:eastAsia="ko-KR"/>
        </w:rPr>
      </w:pPr>
      <w:r>
        <w:rPr>
          <w:i/>
          <w:szCs w:val="20"/>
          <w:highlight w:val="yellow"/>
          <w:lang w:val="en-GB" w:eastAsia="ko-KR"/>
        </w:rPr>
        <w:t>delivery date(s)</w:t>
      </w:r>
    </w:p>
    <w:p>
      <w:pPr>
        <w:rPr>
          <w:lang w:val="en-GB"/>
        </w:rPr>
      </w:pPr>
    </w:p>
    <w:p>
      <w:pPr>
        <w:pStyle w:val="3"/>
        <w:rPr>
          <w:lang w:val="en-GB"/>
        </w:rPr>
      </w:pPr>
      <w:bookmarkStart w:id="77" w:name="_Toc18147724"/>
      <w:bookmarkStart w:id="78" w:name="_Toc18597778"/>
      <w:r>
        <w:rPr>
          <w:lang w:val="en-GB"/>
        </w:rPr>
        <w:t>Terms of Delivery</w:t>
      </w:r>
      <w:bookmarkEnd w:id="77"/>
      <w:bookmarkEnd w:id="78"/>
    </w:p>
    <w:p>
      <w:pPr>
        <w:rPr>
          <w:i/>
          <w:szCs w:val="20"/>
          <w:lang w:val="en-GB" w:eastAsia="ko-KR"/>
        </w:rPr>
      </w:pPr>
      <w:r>
        <w:rPr>
          <w:i/>
          <w:highlight w:val="yellow"/>
          <w:lang w:val="en-GB"/>
        </w:rPr>
        <w:t>DDP</w:t>
      </w:r>
      <w:r>
        <w:rPr>
          <w:i/>
          <w:szCs w:val="20"/>
          <w:highlight w:val="yellow"/>
          <w:lang w:val="en-GB" w:eastAsia="ko-KR"/>
        </w:rPr>
        <w:t xml:space="preserve"> of Incoterms 2010 is recommended</w:t>
      </w:r>
    </w:p>
    <w:p>
      <w:pPr>
        <w:pStyle w:val="3"/>
        <w:rPr>
          <w:lang w:val="en-GB"/>
        </w:rPr>
      </w:pPr>
      <w:bookmarkStart w:id="79" w:name="_Toc18597779"/>
      <w:bookmarkStart w:id="80" w:name="_Toc18147725"/>
      <w:r>
        <w:rPr>
          <w:lang w:val="en-GB"/>
        </w:rPr>
        <w:t>Carrier nomination</w:t>
      </w:r>
      <w:bookmarkEnd w:id="79"/>
      <w:bookmarkEnd w:id="80"/>
    </w:p>
    <w:p>
      <w:pPr>
        <w:rPr>
          <w:lang w:val="en-GB"/>
        </w:rPr>
      </w:pPr>
    </w:p>
    <w:p>
      <w:pPr>
        <w:pStyle w:val="3"/>
        <w:rPr>
          <w:lang w:val="en-GB"/>
        </w:rPr>
      </w:pPr>
      <w:bookmarkStart w:id="81" w:name="_Toc18597780"/>
      <w:bookmarkStart w:id="82" w:name="_Toc18147726"/>
      <w:r>
        <w:rPr>
          <w:lang w:val="en-GB"/>
        </w:rPr>
        <w:t>Documents to be provided</w:t>
      </w:r>
      <w:bookmarkEnd w:id="81"/>
      <w:bookmarkEnd w:id="82"/>
    </w:p>
    <w:p>
      <w:pPr>
        <w:rPr>
          <w:i/>
          <w:szCs w:val="20"/>
          <w:lang w:val="en-GB" w:eastAsia="ko-KR"/>
        </w:rPr>
      </w:pPr>
      <w:r>
        <w:rPr>
          <w:i/>
          <w:szCs w:val="20"/>
          <w:highlight w:val="yellow"/>
          <w:lang w:val="en-GB" w:eastAsia="ko-KR"/>
        </w:rPr>
        <w:t>such as invoice, packing lists, insurance documents etc</w:t>
      </w:r>
    </w:p>
    <w:p>
      <w:pPr>
        <w:rPr>
          <w:i/>
          <w:szCs w:val="20"/>
          <w:lang w:val="en-GB" w:eastAsia="ko-KR"/>
        </w:rPr>
      </w:pPr>
      <w:r>
        <w:rPr>
          <w:i/>
          <w:szCs w:val="20"/>
          <w:highlight w:val="yellow"/>
          <w:lang w:val="en-GB" w:eastAsia="ko-KR"/>
        </w:rPr>
        <w:t>also product manuals, instructions, warranties, etc.</w:t>
      </w:r>
    </w:p>
    <w:p>
      <w:pPr>
        <w:rPr>
          <w:i/>
          <w:szCs w:val="20"/>
          <w:lang w:val="en-GB" w:eastAsia="ko-KR"/>
        </w:rPr>
      </w:pPr>
    </w:p>
    <w:p>
      <w:pPr>
        <w:pStyle w:val="3"/>
        <w:rPr>
          <w:lang w:val="en-GB" w:eastAsia="ko-KR"/>
        </w:rPr>
      </w:pPr>
      <w:bookmarkStart w:id="83" w:name="_Toc18147727"/>
      <w:bookmarkStart w:id="84" w:name="_Toc18597781"/>
      <w:r>
        <w:rPr>
          <w:lang w:val="en-GB" w:eastAsia="ko-KR"/>
        </w:rPr>
        <w:t>Packing requirements</w:t>
      </w:r>
      <w:bookmarkEnd w:id="83"/>
      <w:bookmarkEnd w:id="84"/>
    </w:p>
    <w:p>
      <w:pPr>
        <w:rPr>
          <w:lang w:val="en-GB" w:eastAsia="ko-KR"/>
        </w:rPr>
      </w:pPr>
    </w:p>
    <w:p>
      <w:pPr>
        <w:pStyle w:val="3"/>
        <w:rPr>
          <w:lang w:val="en-GB"/>
        </w:rPr>
      </w:pPr>
      <w:bookmarkStart w:id="85" w:name="_Toc18597782"/>
      <w:bookmarkStart w:id="86" w:name="_Toc18147728"/>
      <w:r>
        <w:rPr>
          <w:lang w:val="en-GB"/>
        </w:rPr>
        <w:t>Other conditions</w:t>
      </w:r>
      <w:bookmarkEnd w:id="85"/>
      <w:bookmarkEnd w:id="86"/>
    </w:p>
    <w:p>
      <w:pPr>
        <w:rPr>
          <w:lang w:val="en-GB"/>
        </w:rPr>
      </w:pPr>
    </w:p>
    <w:p>
      <w:pPr>
        <w:spacing w:before="0"/>
        <w:jc w:val="left"/>
        <w:rPr>
          <w:lang w:val="en-GB"/>
        </w:rPr>
      </w:pPr>
      <w:r>
        <w:rPr>
          <w:lang w:val="en-GB"/>
        </w:rPr>
        <w:br w:type="page"/>
      </w:r>
    </w:p>
    <w:p>
      <w:pPr>
        <w:pStyle w:val="2"/>
        <w:rPr>
          <w:lang w:val="en-GB"/>
        </w:rPr>
      </w:pPr>
      <w:bookmarkStart w:id="87" w:name="_Toc18147729"/>
      <w:bookmarkStart w:id="88" w:name="_Toc18597783"/>
      <w:r>
        <w:rPr>
          <w:lang w:val="en-GB"/>
        </w:rPr>
        <w:t>ANNEX B – SPECIFICATION</w:t>
      </w:r>
      <w:bookmarkEnd w:id="87"/>
      <w:bookmarkEnd w:id="88"/>
      <w:r>
        <w:rPr>
          <w:lang w:val="en-GB"/>
        </w:rPr>
        <w:t>S</w:t>
      </w:r>
    </w:p>
    <w:p>
      <w:pPr>
        <w:rPr>
          <w:lang w:val="en-GB"/>
        </w:rPr>
      </w:pPr>
    </w:p>
    <w:p>
      <w:pPr>
        <w:ind w:left="45"/>
        <w:rPr>
          <w:lang w:val="en-GB"/>
        </w:rPr>
      </w:pPr>
      <w:r>
        <w:rPr>
          <w:highlight w:val="yellow"/>
          <w:lang w:val="en-GB"/>
        </w:rPr>
        <w:t>[</w:t>
      </w:r>
      <w:r>
        <w:rPr>
          <w:i/>
          <w:szCs w:val="20"/>
          <w:highlight w:val="yellow"/>
          <w:lang w:val="en-GB" w:eastAsia="ko-KR"/>
        </w:rPr>
        <w:t>detailed description of goods, technical specification etc.</w:t>
      </w:r>
      <w:r>
        <w:rPr>
          <w:highlight w:val="yellow"/>
          <w:lang w:val="en-GB"/>
        </w:rPr>
        <w:t>]</w:t>
      </w:r>
      <w:bookmarkEnd w:id="2"/>
    </w:p>
    <w:p>
      <w:pPr>
        <w:spacing w:before="0" w:after="160" w:line="259" w:lineRule="auto"/>
        <w:jc w:val="left"/>
        <w:rPr>
          <w:lang w:val="en-GB"/>
        </w:rPr>
      </w:pPr>
      <w:r>
        <w:rPr>
          <w:lang w:val="en-GB"/>
        </w:rPr>
        <w:br w:type="page"/>
      </w:r>
    </w:p>
    <w:p>
      <w:pPr>
        <w:pStyle w:val="2"/>
        <w:rPr>
          <w:lang w:val="en-GB"/>
        </w:rPr>
      </w:pPr>
      <w:bookmarkStart w:id="89" w:name="_Toc18597784"/>
      <w:bookmarkStart w:id="90" w:name="_Hlk18598187"/>
      <w:r>
        <w:rPr>
          <w:lang w:val="en-GB"/>
        </w:rPr>
        <w:t>ANNEX C – GENERAL CONTRACT CONDITIONS</w:t>
      </w:r>
      <w:bookmarkEnd w:id="89"/>
    </w:p>
    <w:p>
      <w:pPr>
        <w:rPr>
          <w:lang w:val="en-GB"/>
        </w:rPr>
      </w:pPr>
      <w:r>
        <w:rPr>
          <w:lang w:val="en-GB"/>
        </w:rPr>
        <w:t>[</w:t>
      </w:r>
      <w:r>
        <w:rPr>
          <w:highlight w:val="yellow"/>
          <w:lang w:val="en-GB"/>
        </w:rPr>
        <w:t>GCC in .pdf format</w:t>
      </w:r>
      <w:r>
        <w:rPr>
          <w:lang w:val="en-GB"/>
        </w:rPr>
        <w:t>]</w:t>
      </w:r>
      <w:bookmarkEnd w:id="90"/>
    </w:p>
    <w:sectPr>
      <w:headerReference r:id="rId3" w:type="default"/>
      <w:footerReference r:id="rId4" w:type="default"/>
      <w:pgSz w:w="11907" w:h="16839"/>
      <w:pgMar w:top="1276" w:right="1800" w:bottom="709" w:left="1800" w:header="284"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swiss"/>
    <w:pitch w:val="default"/>
    <w:sig w:usb0="900002AF" w:usb1="29D77CFB" w:usb2="00000012" w:usb3="00000000" w:csb0="0008008D"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362617"/>
      <w:docPartObj>
        <w:docPartGallery w:val="AutoText"/>
      </w:docPartObj>
    </w:sdtPr>
    <w:sdtContent>
      <w:p>
        <w:pPr>
          <w:pStyle w:val="7"/>
          <w:jc w:val="right"/>
        </w:pPr>
        <w:r>
          <w:fldChar w:fldCharType="begin"/>
        </w:r>
        <w:r>
          <w:instrText xml:space="preserve">PAGE   \* MERGEFORMAT</w:instrText>
        </w:r>
        <w:r>
          <w:fldChar w:fldCharType="separate"/>
        </w:r>
        <w:r>
          <w:rPr>
            <w:lang w:val="it-IT"/>
          </w:rPr>
          <w:t>2</w:t>
        </w:r>
        <w:r>
          <w:fldChar w:fldCharType="end"/>
        </w:r>
      </w:p>
    </w:sdtContent>
  </w:sdt>
  <w:p>
    <w:pPr>
      <w:pStyle w:val="7"/>
      <w:rPr>
        <w:rFonts w:cs="Times New Roman"/>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0550" cy="645795"/>
          <wp:effectExtent l="0" t="0" r="0" b="1905"/>
          <wp:docPr id="7"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9002C"/>
    <w:multiLevelType w:val="multilevel"/>
    <w:tmpl w:val="2DE9002C"/>
    <w:lvl w:ilvl="0" w:tentative="0">
      <w:start w:val="1"/>
      <w:numFmt w:val="decimal"/>
      <w:pStyle w:val="19"/>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612E779E"/>
    <w:multiLevelType w:val="multilevel"/>
    <w:tmpl w:val="612E779E"/>
    <w:lvl w:ilvl="0" w:tentative="0">
      <w:start w:val="1"/>
      <w:numFmt w:val="bullet"/>
      <w:lvlText w:val=""/>
      <w:lvlJc w:val="left"/>
      <w:pPr>
        <w:ind w:left="714" w:hanging="360"/>
      </w:pPr>
      <w:rPr>
        <w:rFonts w:hint="default" w:ascii="Symbol" w:hAnsi="Symbol"/>
      </w:rPr>
    </w:lvl>
    <w:lvl w:ilvl="1" w:tentative="0">
      <w:start w:val="1"/>
      <w:numFmt w:val="bullet"/>
      <w:lvlText w:val="o"/>
      <w:lvlJc w:val="left"/>
      <w:pPr>
        <w:ind w:left="1434" w:hanging="360"/>
      </w:pPr>
      <w:rPr>
        <w:rFonts w:hint="default" w:ascii="Courier New" w:hAnsi="Courier New" w:cs="Courier New"/>
      </w:rPr>
    </w:lvl>
    <w:lvl w:ilvl="2" w:tentative="0">
      <w:start w:val="1"/>
      <w:numFmt w:val="bullet"/>
      <w:lvlText w:val=""/>
      <w:lvlJc w:val="left"/>
      <w:pPr>
        <w:ind w:left="2154" w:hanging="360"/>
      </w:pPr>
      <w:rPr>
        <w:rFonts w:hint="default" w:ascii="Wingdings" w:hAnsi="Wingdings"/>
      </w:rPr>
    </w:lvl>
    <w:lvl w:ilvl="3" w:tentative="0">
      <w:start w:val="1"/>
      <w:numFmt w:val="bullet"/>
      <w:lvlText w:val=""/>
      <w:lvlJc w:val="left"/>
      <w:pPr>
        <w:ind w:left="2874" w:hanging="360"/>
      </w:pPr>
      <w:rPr>
        <w:rFonts w:hint="default" w:ascii="Symbol" w:hAnsi="Symbol"/>
      </w:rPr>
    </w:lvl>
    <w:lvl w:ilvl="4" w:tentative="0">
      <w:start w:val="1"/>
      <w:numFmt w:val="bullet"/>
      <w:lvlText w:val="o"/>
      <w:lvlJc w:val="left"/>
      <w:pPr>
        <w:ind w:left="3594" w:hanging="360"/>
      </w:pPr>
      <w:rPr>
        <w:rFonts w:hint="default" w:ascii="Courier New" w:hAnsi="Courier New" w:cs="Courier New"/>
      </w:rPr>
    </w:lvl>
    <w:lvl w:ilvl="5" w:tentative="0">
      <w:start w:val="1"/>
      <w:numFmt w:val="bullet"/>
      <w:lvlText w:val=""/>
      <w:lvlJc w:val="left"/>
      <w:pPr>
        <w:ind w:left="4314" w:hanging="360"/>
      </w:pPr>
      <w:rPr>
        <w:rFonts w:hint="default" w:ascii="Wingdings" w:hAnsi="Wingdings"/>
      </w:rPr>
    </w:lvl>
    <w:lvl w:ilvl="6" w:tentative="0">
      <w:start w:val="1"/>
      <w:numFmt w:val="bullet"/>
      <w:lvlText w:val=""/>
      <w:lvlJc w:val="left"/>
      <w:pPr>
        <w:ind w:left="5034" w:hanging="360"/>
      </w:pPr>
      <w:rPr>
        <w:rFonts w:hint="default" w:ascii="Symbol" w:hAnsi="Symbol"/>
      </w:rPr>
    </w:lvl>
    <w:lvl w:ilvl="7" w:tentative="0">
      <w:start w:val="1"/>
      <w:numFmt w:val="bullet"/>
      <w:lvlText w:val="o"/>
      <w:lvlJc w:val="left"/>
      <w:pPr>
        <w:ind w:left="5754" w:hanging="360"/>
      </w:pPr>
      <w:rPr>
        <w:rFonts w:hint="default" w:ascii="Courier New" w:hAnsi="Courier New" w:cs="Courier New"/>
      </w:rPr>
    </w:lvl>
    <w:lvl w:ilvl="8" w:tentative="0">
      <w:start w:val="1"/>
      <w:numFmt w:val="bullet"/>
      <w:lvlText w:val=""/>
      <w:lvlJc w:val="left"/>
      <w:pPr>
        <w:ind w:left="6474" w:hanging="360"/>
      </w:pPr>
      <w:rPr>
        <w:rFonts w:hint="default" w:ascii="Wingdings" w:hAnsi="Wingdings"/>
      </w:rPr>
    </w:lvl>
  </w:abstractNum>
  <w:abstractNum w:abstractNumId="2">
    <w:nsid w:val="6EE220E0"/>
    <w:multiLevelType w:val="multilevel"/>
    <w:tmpl w:val="6EE220E0"/>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FB"/>
    <w:rsid w:val="00014E2C"/>
    <w:rsid w:val="000309F6"/>
    <w:rsid w:val="000D3E58"/>
    <w:rsid w:val="00107857"/>
    <w:rsid w:val="002205E9"/>
    <w:rsid w:val="002446DB"/>
    <w:rsid w:val="00303614"/>
    <w:rsid w:val="003E2C5E"/>
    <w:rsid w:val="004143CA"/>
    <w:rsid w:val="004451EB"/>
    <w:rsid w:val="00445D9C"/>
    <w:rsid w:val="0047738F"/>
    <w:rsid w:val="004C4BA8"/>
    <w:rsid w:val="00565C5A"/>
    <w:rsid w:val="00600FF9"/>
    <w:rsid w:val="006A4C50"/>
    <w:rsid w:val="00740480"/>
    <w:rsid w:val="007539FB"/>
    <w:rsid w:val="00790F3B"/>
    <w:rsid w:val="007C2524"/>
    <w:rsid w:val="007C3CFC"/>
    <w:rsid w:val="008054F6"/>
    <w:rsid w:val="00840EDD"/>
    <w:rsid w:val="008D2905"/>
    <w:rsid w:val="009218A0"/>
    <w:rsid w:val="00952A94"/>
    <w:rsid w:val="009619A5"/>
    <w:rsid w:val="00A14BFC"/>
    <w:rsid w:val="00AA45D7"/>
    <w:rsid w:val="00AD1C34"/>
    <w:rsid w:val="00B076F1"/>
    <w:rsid w:val="00BA5853"/>
    <w:rsid w:val="00BD729A"/>
    <w:rsid w:val="00C42E19"/>
    <w:rsid w:val="00C550E2"/>
    <w:rsid w:val="00C82953"/>
    <w:rsid w:val="00D146B8"/>
    <w:rsid w:val="00D146F7"/>
    <w:rsid w:val="00F831F5"/>
    <w:rsid w:val="516F338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0" w:line="240" w:lineRule="auto"/>
      <w:jc w:val="both"/>
    </w:pPr>
    <w:rPr>
      <w:rFonts w:ascii="Times New Roman" w:hAnsi="Times New Roman" w:eastAsiaTheme="minorEastAsia" w:cstheme="minorBidi"/>
      <w:sz w:val="20"/>
      <w:szCs w:val="24"/>
      <w:lang w:val="en-US" w:eastAsia="en-US" w:bidi="ar-SA"/>
    </w:rPr>
  </w:style>
  <w:style w:type="paragraph" w:styleId="2">
    <w:name w:val="heading 1"/>
    <w:basedOn w:val="1"/>
    <w:next w:val="1"/>
    <w:link w:val="17"/>
    <w:qFormat/>
    <w:uiPriority w:val="9"/>
    <w:pPr>
      <w:keepNext/>
      <w:keepLines/>
      <w:spacing w:before="240" w:after="120"/>
      <w:jc w:val="center"/>
      <w:outlineLvl w:val="0"/>
    </w:pPr>
    <w:rPr>
      <w:rFonts w:eastAsiaTheme="majorEastAsia" w:cstheme="majorBidi"/>
      <w:b/>
      <w:sz w:val="24"/>
      <w:szCs w:val="32"/>
    </w:rPr>
  </w:style>
  <w:style w:type="paragraph" w:styleId="3">
    <w:name w:val="heading 3"/>
    <w:basedOn w:val="1"/>
    <w:next w:val="1"/>
    <w:link w:val="18"/>
    <w:unhideWhenUsed/>
    <w:qFormat/>
    <w:uiPriority w:val="9"/>
    <w:pPr>
      <w:keepNext/>
      <w:keepLines/>
      <w:spacing w:before="240" w:after="120"/>
      <w:outlineLvl w:val="2"/>
    </w:pPr>
    <w:rPr>
      <w:rFonts w:eastAsiaTheme="majorEastAsia" w:cstheme="majorBidi"/>
      <w:b/>
    </w:rPr>
  </w:style>
  <w:style w:type="character" w:default="1" w:styleId="12">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Balloon Text"/>
    <w:basedOn w:val="1"/>
    <w:link w:val="24"/>
    <w:semiHidden/>
    <w:unhideWhenUsed/>
    <w:qFormat/>
    <w:uiPriority w:val="99"/>
    <w:pPr>
      <w:spacing w:before="0"/>
    </w:pPr>
    <w:rPr>
      <w:rFonts w:ascii="Segoe UI" w:hAnsi="Segoe UI" w:cs="Segoe UI"/>
      <w:sz w:val="18"/>
      <w:szCs w:val="18"/>
    </w:rPr>
  </w:style>
  <w:style w:type="paragraph" w:styleId="5">
    <w:name w:val="annotation text"/>
    <w:basedOn w:val="1"/>
    <w:link w:val="20"/>
    <w:semiHidden/>
    <w:unhideWhenUsed/>
    <w:uiPriority w:val="99"/>
  </w:style>
  <w:style w:type="paragraph" w:styleId="6">
    <w:name w:val="annotation subject"/>
    <w:basedOn w:val="5"/>
    <w:next w:val="5"/>
    <w:link w:val="26"/>
    <w:semiHidden/>
    <w:unhideWhenUsed/>
    <w:uiPriority w:val="99"/>
    <w:rPr>
      <w:b/>
      <w:bCs/>
      <w:szCs w:val="20"/>
    </w:rPr>
  </w:style>
  <w:style w:type="paragraph" w:styleId="7">
    <w:name w:val="footer"/>
    <w:basedOn w:val="1"/>
    <w:link w:val="22"/>
    <w:unhideWhenUsed/>
    <w:uiPriority w:val="99"/>
    <w:pPr>
      <w:tabs>
        <w:tab w:val="center" w:pos="4513"/>
        <w:tab w:val="right" w:pos="9026"/>
      </w:tabs>
      <w:snapToGrid w:val="0"/>
    </w:pPr>
  </w:style>
  <w:style w:type="paragraph" w:styleId="8">
    <w:name w:val="header"/>
    <w:basedOn w:val="1"/>
    <w:link w:val="21"/>
    <w:unhideWhenUsed/>
    <w:uiPriority w:val="99"/>
    <w:pPr>
      <w:tabs>
        <w:tab w:val="center" w:pos="4513"/>
        <w:tab w:val="right" w:pos="9026"/>
      </w:tabs>
      <w:snapToGrid w:val="0"/>
    </w:pPr>
  </w:style>
  <w:style w:type="paragraph" w:styleId="9">
    <w:name w:val="Subtitle"/>
    <w:basedOn w:val="1"/>
    <w:next w:val="1"/>
    <w:link w:val="23"/>
    <w:qFormat/>
    <w:uiPriority w:val="11"/>
    <w:rPr>
      <w:b/>
      <w:color w:val="595959" w:themeColor="text1" w:themeTint="A6"/>
      <w:spacing w:val="15"/>
      <w:szCs w:val="22"/>
      <w14:textFill>
        <w14:solidFill>
          <w14:schemeClr w14:val="tx1">
            <w14:lumMod w14:val="65000"/>
            <w14:lumOff w14:val="35000"/>
          </w14:schemeClr>
        </w14:solidFill>
      </w14:textFill>
    </w:rPr>
  </w:style>
  <w:style w:type="paragraph" w:styleId="10">
    <w:name w:val="toc 1"/>
    <w:basedOn w:val="1"/>
    <w:next w:val="1"/>
    <w:unhideWhenUsed/>
    <w:uiPriority w:val="39"/>
    <w:pPr>
      <w:spacing w:after="100"/>
    </w:pPr>
  </w:style>
  <w:style w:type="paragraph" w:styleId="11">
    <w:name w:val="toc 3"/>
    <w:basedOn w:val="1"/>
    <w:next w:val="1"/>
    <w:unhideWhenUsed/>
    <w:uiPriority w:val="39"/>
    <w:pPr>
      <w:spacing w:after="100"/>
      <w:ind w:left="400"/>
    </w:pPr>
  </w:style>
  <w:style w:type="character" w:styleId="13">
    <w:name w:val="annotation reference"/>
    <w:basedOn w:val="12"/>
    <w:semiHidden/>
    <w:unhideWhenUsed/>
    <w:uiPriority w:val="99"/>
    <w:rPr>
      <w:sz w:val="18"/>
      <w:szCs w:val="18"/>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table" w:styleId="16">
    <w:name w:val="Table Grid"/>
    <w:basedOn w:val="15"/>
    <w:uiPriority w:val="59"/>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itolo 1 Carattere"/>
    <w:basedOn w:val="12"/>
    <w:link w:val="2"/>
    <w:uiPriority w:val="9"/>
    <w:rPr>
      <w:rFonts w:ascii="Times New Roman" w:hAnsi="Times New Roman" w:eastAsiaTheme="majorEastAsia" w:cstheme="majorBidi"/>
      <w:b/>
      <w:sz w:val="24"/>
      <w:szCs w:val="32"/>
      <w:lang w:val="en-US"/>
    </w:rPr>
  </w:style>
  <w:style w:type="character" w:customStyle="1" w:styleId="18">
    <w:name w:val="Titolo 3 Carattere"/>
    <w:basedOn w:val="12"/>
    <w:link w:val="3"/>
    <w:uiPriority w:val="9"/>
    <w:rPr>
      <w:rFonts w:ascii="Times New Roman" w:hAnsi="Times New Roman" w:eastAsiaTheme="majorEastAsia" w:cstheme="majorBidi"/>
      <w:b/>
      <w:sz w:val="20"/>
      <w:szCs w:val="24"/>
      <w:lang w:val="en-US"/>
    </w:rPr>
  </w:style>
  <w:style w:type="paragraph" w:styleId="19">
    <w:name w:val="List Paragraph"/>
    <w:basedOn w:val="1"/>
    <w:qFormat/>
    <w:uiPriority w:val="34"/>
    <w:pPr>
      <w:numPr>
        <w:ilvl w:val="0"/>
        <w:numId w:val="1"/>
      </w:numPr>
      <w:spacing w:after="120"/>
    </w:pPr>
  </w:style>
  <w:style w:type="character" w:customStyle="1" w:styleId="20">
    <w:name w:val="Testo commento Carattere"/>
    <w:basedOn w:val="12"/>
    <w:link w:val="5"/>
    <w:semiHidden/>
    <w:qFormat/>
    <w:uiPriority w:val="99"/>
    <w:rPr>
      <w:rFonts w:ascii="Times New Roman" w:hAnsi="Times New Roman" w:eastAsiaTheme="minorEastAsia"/>
      <w:sz w:val="20"/>
      <w:szCs w:val="24"/>
      <w:lang w:val="en-US"/>
    </w:rPr>
  </w:style>
  <w:style w:type="character" w:customStyle="1" w:styleId="21">
    <w:name w:val="Intestazione Carattere"/>
    <w:basedOn w:val="12"/>
    <w:link w:val="8"/>
    <w:uiPriority w:val="99"/>
    <w:rPr>
      <w:rFonts w:ascii="Times New Roman" w:hAnsi="Times New Roman" w:eastAsiaTheme="minorEastAsia"/>
      <w:sz w:val="20"/>
      <w:szCs w:val="24"/>
      <w:lang w:val="en-US"/>
    </w:rPr>
  </w:style>
  <w:style w:type="character" w:customStyle="1" w:styleId="22">
    <w:name w:val="Piè di pagina Carattere"/>
    <w:basedOn w:val="12"/>
    <w:link w:val="7"/>
    <w:qFormat/>
    <w:uiPriority w:val="99"/>
    <w:rPr>
      <w:rFonts w:ascii="Times New Roman" w:hAnsi="Times New Roman" w:eastAsiaTheme="minorEastAsia"/>
      <w:sz w:val="20"/>
      <w:szCs w:val="24"/>
      <w:lang w:val="en-US"/>
    </w:rPr>
  </w:style>
  <w:style w:type="character" w:customStyle="1" w:styleId="23">
    <w:name w:val="Sottotitolo Carattere"/>
    <w:basedOn w:val="12"/>
    <w:link w:val="9"/>
    <w:qFormat/>
    <w:uiPriority w:val="11"/>
    <w:rPr>
      <w:rFonts w:ascii="Times New Roman" w:hAnsi="Times New Roman" w:eastAsiaTheme="minorEastAsia"/>
      <w:b/>
      <w:color w:val="595959" w:themeColor="text1" w:themeTint="A6"/>
      <w:spacing w:val="15"/>
      <w:sz w:val="20"/>
      <w:lang w:val="en-US"/>
      <w14:textFill>
        <w14:solidFill>
          <w14:schemeClr w14:val="tx1">
            <w14:lumMod w14:val="65000"/>
            <w14:lumOff w14:val="35000"/>
          </w14:schemeClr>
        </w14:solidFill>
      </w14:textFill>
    </w:rPr>
  </w:style>
  <w:style w:type="character" w:customStyle="1" w:styleId="24">
    <w:name w:val="Testo fumetto Carattere"/>
    <w:basedOn w:val="12"/>
    <w:link w:val="4"/>
    <w:semiHidden/>
    <w:qFormat/>
    <w:uiPriority w:val="99"/>
    <w:rPr>
      <w:rFonts w:ascii="Segoe UI" w:hAnsi="Segoe UI" w:cs="Segoe UI" w:eastAsiaTheme="minorEastAsia"/>
      <w:sz w:val="18"/>
      <w:szCs w:val="18"/>
      <w:lang w:val="en-US"/>
    </w:rPr>
  </w:style>
  <w:style w:type="paragraph" w:customStyle="1" w:styleId="25">
    <w:name w:val="TOC Heading"/>
    <w:basedOn w:val="2"/>
    <w:next w:val="1"/>
    <w:unhideWhenUsed/>
    <w:qFormat/>
    <w:uiPriority w:val="39"/>
    <w:pPr>
      <w:spacing w:after="0" w:line="259" w:lineRule="auto"/>
      <w:jc w:val="left"/>
      <w:outlineLvl w:val="9"/>
    </w:pPr>
    <w:rPr>
      <w:rFonts w:asciiTheme="majorHAnsi" w:hAnsiTheme="majorHAnsi"/>
      <w:b w:val="0"/>
      <w:color w:val="2F5597" w:themeColor="accent1" w:themeShade="BF"/>
      <w:sz w:val="32"/>
      <w:lang w:val="it-IT" w:eastAsia="it-IT"/>
    </w:rPr>
  </w:style>
  <w:style w:type="character" w:customStyle="1" w:styleId="26">
    <w:name w:val="Soggetto commento Carattere"/>
    <w:basedOn w:val="20"/>
    <w:link w:val="6"/>
    <w:semiHidden/>
    <w:qFormat/>
    <w:uiPriority w:val="99"/>
    <w:rPr>
      <w:rFonts w:ascii="Times New Roman" w:hAnsi="Times New Roman" w:eastAsiaTheme="minorEastAsia"/>
      <w:b/>
      <w:bCs/>
      <w:sz w:val="20"/>
      <w:szCs w:val="20"/>
      <w:lang w:val="en-US"/>
    </w:rPr>
  </w:style>
  <w:style w:type="paragraph" w:styleId="27">
    <w:name w:val="No Spacing"/>
    <w:qFormat/>
    <w:uiPriority w:val="1"/>
    <w:pPr>
      <w:spacing w:after="0" w:line="240" w:lineRule="auto"/>
      <w:jc w:val="both"/>
    </w:pPr>
    <w:rPr>
      <w:rFonts w:ascii="Calibri" w:hAnsi="Calibri" w:eastAsiaTheme="minorEastAsia" w:cstheme="minorBidi"/>
      <w:sz w:val="22"/>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CECA4-7DDE-45BF-81FC-A03EAA4BC95B}">
  <ds:schemaRefs/>
</ds:datastoreItem>
</file>

<file path=docProps/app.xml><?xml version="1.0" encoding="utf-8"?>
<Properties xmlns="http://schemas.openxmlformats.org/officeDocument/2006/extended-properties" xmlns:vt="http://schemas.openxmlformats.org/officeDocument/2006/docPropsVTypes">
  <Template>Normal</Template>
  <Pages>6</Pages>
  <Words>742</Words>
  <Characters>4235</Characters>
  <Lines>35</Lines>
  <Paragraphs>9</Paragraphs>
  <TotalTime>1</TotalTime>
  <ScaleCrop>false</ScaleCrop>
  <LinksUpToDate>false</LinksUpToDate>
  <CharactersWithSpaces>4968</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2019-10-04T07:33:00Z</dcterms:created>
  <dc:creator>Michele Dinelli</dc:creator>
  <cp:lastModifiedBy>Burennata</cp:lastModifiedBy>
  <dcterms:modified xsi:type="dcterms:W3CDTF">2020-05-15T01:49:29Z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