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46536" w14:textId="77777777" w:rsidR="00395559" w:rsidRDefault="00000000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>
        <w:rPr>
          <w:rFonts w:asciiTheme="minorHAnsi" w:hAnsiTheme="minorHAnsi" w:cstheme="minorHAnsi"/>
          <w:b/>
          <w:sz w:val="36"/>
          <w:szCs w:val="36"/>
          <w:lang w:val="en-GB"/>
        </w:rPr>
        <w:t>REQUEST FOR QUOTATION</w:t>
      </w:r>
      <w:r>
        <w:rPr>
          <w:rFonts w:asciiTheme="minorHAnsi" w:hAnsiTheme="minorHAnsi" w:cstheme="minorHAnsi"/>
          <w:b/>
          <w:sz w:val="36"/>
          <w:szCs w:val="36"/>
          <w:lang w:val="en-GB"/>
        </w:rPr>
        <w:br/>
        <w:t>SPECIFICATION OF GOODS</w:t>
      </w:r>
    </w:p>
    <w:p w14:paraId="1D1BA010" w14:textId="33B298CA" w:rsidR="00395559" w:rsidRDefault="00000000">
      <w:pPr>
        <w:tabs>
          <w:tab w:val="left" w:pos="2835"/>
        </w:tabs>
        <w:spacing w:before="240" w:after="240"/>
        <w:ind w:left="2835" w:hanging="2835"/>
        <w:rPr>
          <w:lang w:eastAsia="ko-KR"/>
        </w:rPr>
      </w:pPr>
      <w:r>
        <w:rPr>
          <w:b/>
          <w:lang w:val="en-GB"/>
        </w:rPr>
        <w:tab/>
        <w:t>Procurement No:</w:t>
      </w:r>
      <w:r>
        <w:rPr>
          <w:lang w:val="en-GB"/>
        </w:rPr>
        <w:tab/>
      </w:r>
      <w:r>
        <w:rPr>
          <w:rFonts w:asciiTheme="minorHAnsi"/>
          <w:b/>
          <w:bCs/>
        </w:rPr>
        <w:t>09-G0</w:t>
      </w:r>
      <w:r w:rsidR="00FD3BCD">
        <w:rPr>
          <w:rFonts w:asciiTheme="minorHAnsi"/>
          <w:b/>
          <w:bCs/>
        </w:rPr>
        <w:t>0</w:t>
      </w:r>
      <w:r w:rsidR="006A031B">
        <w:rPr>
          <w:rFonts w:asciiTheme="minorHAnsi"/>
          <w:b/>
          <w:bCs/>
        </w:rPr>
        <w:t>5</w:t>
      </w:r>
      <w:r w:rsidR="00FD3BCD">
        <w:rPr>
          <w:rFonts w:asciiTheme="minorHAnsi"/>
          <w:b/>
          <w:bCs/>
        </w:rPr>
        <w:t>-</w:t>
      </w:r>
      <w:r>
        <w:rPr>
          <w:rFonts w:asciiTheme="minorHAnsi"/>
          <w:b/>
          <w:bCs/>
        </w:rPr>
        <w:t>2</w:t>
      </w:r>
      <w:r w:rsidR="00FD3BCD">
        <w:rPr>
          <w:rFonts w:asciiTheme="minorHAnsi"/>
          <w:b/>
          <w:bCs/>
        </w:rPr>
        <w:t>3</w:t>
      </w:r>
    </w:p>
    <w:p w14:paraId="47D83850" w14:textId="77777777" w:rsidR="00395559" w:rsidRDefault="00395559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</w:rPr>
      </w:pPr>
    </w:p>
    <w:p w14:paraId="4CF53F3C" w14:textId="77777777" w:rsidR="00395559" w:rsidRDefault="00395559">
      <w:pPr>
        <w:pStyle w:val="HeadingPage1stuff"/>
        <w:tabs>
          <w:tab w:val="left" w:pos="2835"/>
        </w:tabs>
        <w:spacing w:before="240" w:after="240" w:line="240" w:lineRule="auto"/>
        <w:ind w:left="2835" w:hanging="2835"/>
        <w:rPr>
          <w:rFonts w:cs="Calibri"/>
          <w:sz w:val="24"/>
          <w:lang w:eastAsia="ko-KR"/>
        </w:rPr>
      </w:pPr>
    </w:p>
    <w:p w14:paraId="7787C965" w14:textId="77777777" w:rsidR="00395559" w:rsidRDefault="00000000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2F461769" w14:textId="77777777" w:rsidR="00395559" w:rsidRDefault="00000000">
      <w:pPr>
        <w:pStyle w:val="Heading2"/>
      </w:pPr>
      <w:bookmarkStart w:id="0" w:name="_Toc419729571"/>
      <w:bookmarkStart w:id="1" w:name="_Toc11156577"/>
      <w:r>
        <w:lastRenderedPageBreak/>
        <w:t>Specification</w:t>
      </w:r>
      <w:bookmarkEnd w:id="0"/>
    </w:p>
    <w:p w14:paraId="2EFCEA64" w14:textId="77777777" w:rsidR="00395559" w:rsidRDefault="00000000">
      <w:pPr>
        <w:pStyle w:val="Heading3"/>
      </w:pPr>
      <w:bookmarkStart w:id="2" w:name="_Toc419729572"/>
      <w:bookmarkStart w:id="3" w:name="_Toc293504682"/>
      <w:bookmarkStart w:id="4" w:name="_Toc292659306"/>
      <w:r>
        <w:t>Background</w:t>
      </w:r>
      <w:bookmarkEnd w:id="2"/>
      <w:bookmarkEnd w:id="3"/>
    </w:p>
    <w:p w14:paraId="4D905246" w14:textId="25DD7452" w:rsidR="002B4228" w:rsidRDefault="00A53751" w:rsidP="002B4228">
      <w:pPr>
        <w:spacing w:line="360" w:lineRule="auto"/>
        <w:jc w:val="both"/>
        <w:rPr>
          <w:rFonts w:asciiTheme="minorHAnsi"/>
        </w:rPr>
      </w:pPr>
      <w:r>
        <w:rPr>
          <w:rFonts w:asciiTheme="minorHAnsi"/>
        </w:rPr>
        <w:t>T</w:t>
      </w:r>
      <w:r w:rsidR="006A031B">
        <w:rPr>
          <w:rFonts w:asciiTheme="minorHAnsi"/>
        </w:rPr>
        <w:t>his is the proposal from OB via her</w:t>
      </w:r>
      <w:r>
        <w:rPr>
          <w:rFonts w:asciiTheme="minorHAnsi"/>
        </w:rPr>
        <w:t xml:space="preserve"> </w:t>
      </w:r>
      <w:r w:rsidR="00FD3BCD">
        <w:rPr>
          <w:rFonts w:asciiTheme="minorHAnsi"/>
        </w:rPr>
        <w:t xml:space="preserve">disaster </w:t>
      </w:r>
      <w:r w:rsidR="009308E1">
        <w:rPr>
          <w:rFonts w:asciiTheme="minorHAnsi"/>
        </w:rPr>
        <w:t>and risk management</w:t>
      </w:r>
      <w:r w:rsidR="00FD3BCD">
        <w:rPr>
          <w:rFonts w:asciiTheme="minorHAnsi"/>
        </w:rPr>
        <w:t xml:space="preserve"> </w:t>
      </w:r>
      <w:r w:rsidR="009308E1">
        <w:rPr>
          <w:rFonts w:asciiTheme="minorHAnsi"/>
        </w:rPr>
        <w:t xml:space="preserve">unit </w:t>
      </w:r>
      <w:r>
        <w:rPr>
          <w:rFonts w:asciiTheme="minorHAnsi"/>
        </w:rPr>
        <w:t xml:space="preserve">(DRMU) </w:t>
      </w:r>
      <w:r w:rsidR="006A031B">
        <w:rPr>
          <w:rFonts w:asciiTheme="minorHAnsi"/>
        </w:rPr>
        <w:t xml:space="preserve">on procuring construction materials for one of its projects namely </w:t>
      </w:r>
      <w:r w:rsidR="006A031B">
        <w:rPr>
          <w:rFonts w:asciiTheme="minorHAnsi"/>
        </w:rPr>
        <w:t>‘</w:t>
      </w:r>
      <w:r w:rsidR="006A031B">
        <w:rPr>
          <w:rFonts w:asciiTheme="minorHAnsi"/>
        </w:rPr>
        <w:t xml:space="preserve">the construction of KUC </w:t>
      </w:r>
      <w:proofErr w:type="spellStart"/>
      <w:r w:rsidR="006A031B">
        <w:rPr>
          <w:rFonts w:asciiTheme="minorHAnsi"/>
        </w:rPr>
        <w:t>Otankarawa</w:t>
      </w:r>
      <w:proofErr w:type="spellEnd"/>
      <w:r w:rsidR="006A031B">
        <w:rPr>
          <w:rFonts w:asciiTheme="minorHAnsi"/>
        </w:rPr>
        <w:t xml:space="preserve"> seawall</w:t>
      </w:r>
      <w:r w:rsidR="006A031B">
        <w:rPr>
          <w:rFonts w:asciiTheme="minorHAnsi"/>
        </w:rPr>
        <w:t>’</w:t>
      </w:r>
      <w:r w:rsidR="006A031B">
        <w:rPr>
          <w:rFonts w:asciiTheme="minorHAnsi"/>
        </w:rPr>
        <w:t xml:space="preserve">, </w:t>
      </w:r>
      <w:proofErr w:type="spellStart"/>
      <w:r w:rsidR="006A031B">
        <w:rPr>
          <w:rFonts w:asciiTheme="minorHAnsi"/>
        </w:rPr>
        <w:t>Bikenibeu</w:t>
      </w:r>
      <w:proofErr w:type="spellEnd"/>
      <w:r w:rsidR="006A031B">
        <w:rPr>
          <w:rFonts w:asciiTheme="minorHAnsi"/>
        </w:rPr>
        <w:t>. This tender w</w:t>
      </w:r>
      <w:r w:rsidR="005F65D3">
        <w:rPr>
          <w:rFonts w:asciiTheme="minorHAnsi"/>
        </w:rPr>
        <w:t xml:space="preserve">as </w:t>
      </w:r>
      <w:r w:rsidR="006A031B">
        <w:rPr>
          <w:rFonts w:asciiTheme="minorHAnsi"/>
        </w:rPr>
        <w:t xml:space="preserve">tendered to local suppliers in an open </w:t>
      </w:r>
      <w:r w:rsidR="00C73DD9">
        <w:rPr>
          <w:rFonts w:asciiTheme="minorHAnsi"/>
        </w:rPr>
        <w:t xml:space="preserve">competitive method on a reduced tender period of 10 calendar days. </w:t>
      </w:r>
      <w:r w:rsidR="00FD3BCD">
        <w:rPr>
          <w:rFonts w:asciiTheme="minorHAnsi"/>
        </w:rPr>
        <w:t xml:space="preserve"> </w:t>
      </w:r>
    </w:p>
    <w:p w14:paraId="145FA4D7" w14:textId="0D17528C" w:rsidR="00C73DD9" w:rsidRDefault="006A031B" w:rsidP="00C73DD9">
      <w:pPr>
        <w:spacing w:line="360" w:lineRule="auto"/>
        <w:jc w:val="both"/>
        <w:rPr>
          <w:rFonts w:asciiTheme="minorHAnsi"/>
        </w:rPr>
      </w:pPr>
      <w:r>
        <w:rPr>
          <w:rFonts w:asciiTheme="minorHAnsi"/>
        </w:rPr>
        <w:t xml:space="preserve">This project is being categorized as an urgent and important amongst the list </w:t>
      </w:r>
      <w:r w:rsidR="005F65D3">
        <w:rPr>
          <w:rFonts w:asciiTheme="minorHAnsi"/>
        </w:rPr>
        <w:t xml:space="preserve">for the purpose of safeguarding communities concerned. </w:t>
      </w:r>
      <w:r>
        <w:rPr>
          <w:rFonts w:asciiTheme="minorHAnsi"/>
        </w:rPr>
        <w:t xml:space="preserve"> </w:t>
      </w:r>
      <w:bookmarkStart w:id="5" w:name="_Toc312171709"/>
    </w:p>
    <w:p w14:paraId="4EF8D470" w14:textId="77777777" w:rsidR="00C73DD9" w:rsidRPr="005F65D3" w:rsidRDefault="00000000" w:rsidP="00C73DD9">
      <w:pPr>
        <w:spacing w:line="360" w:lineRule="auto"/>
        <w:jc w:val="both"/>
        <w:rPr>
          <w:rFonts w:cs="Calibri"/>
          <w:b/>
          <w:bCs/>
          <w:lang w:val="en-GB"/>
        </w:rPr>
      </w:pPr>
      <w:r w:rsidRPr="005F65D3">
        <w:rPr>
          <w:rFonts w:cs="Calibri"/>
          <w:b/>
          <w:bCs/>
          <w:lang w:val="en-GB"/>
        </w:rPr>
        <w:t>Requirements</w:t>
      </w:r>
      <w:bookmarkStart w:id="6" w:name="_Toc308102003"/>
    </w:p>
    <w:p w14:paraId="4FAA44D9" w14:textId="06FDBAED" w:rsidR="00395559" w:rsidRDefault="00000000" w:rsidP="00C73DD9">
      <w:pPr>
        <w:spacing w:line="360" w:lineRule="auto"/>
        <w:jc w:val="both"/>
        <w:rPr>
          <w:rFonts w:asciiTheme="minorHAnsi"/>
          <w:lang w:val="en-GB"/>
        </w:rPr>
      </w:pPr>
      <w:r>
        <w:rPr>
          <w:rFonts w:asciiTheme="minorHAnsi"/>
          <w:lang w:val="en-GB"/>
        </w:rPr>
        <w:t>All supporting documentation must be in English.</w:t>
      </w:r>
    </w:p>
    <w:p w14:paraId="4960001D" w14:textId="22C17CA7" w:rsidR="00C73DD9" w:rsidRPr="005F65D3" w:rsidRDefault="00C73DD9" w:rsidP="00C73DD9">
      <w:pPr>
        <w:spacing w:line="360" w:lineRule="auto"/>
        <w:jc w:val="both"/>
        <w:rPr>
          <w:rFonts w:asciiTheme="minorHAnsi"/>
          <w:lang w:val="en-GB"/>
        </w:rPr>
      </w:pPr>
      <w:r w:rsidRPr="00C73DD9">
        <w:rPr>
          <w:rFonts w:asciiTheme="minorHAnsi"/>
          <w:lang w:val="en-GB"/>
        </w:rPr>
        <w:t xml:space="preserve">Please note that the list of requirements can be found in the </w:t>
      </w:r>
      <w:r w:rsidRPr="00C73DD9">
        <w:rPr>
          <w:rFonts w:asciiTheme="minorHAnsi"/>
          <w:b/>
          <w:bCs/>
          <w:i/>
          <w:iCs/>
          <w:lang w:val="en-GB"/>
        </w:rPr>
        <w:t>Instructions on How to Submit a Quotation</w:t>
      </w:r>
      <w:r w:rsidRPr="00C73DD9">
        <w:rPr>
          <w:rFonts w:asciiTheme="minorHAnsi"/>
          <w:lang w:val="en-GB"/>
        </w:rPr>
        <w:t xml:space="preserve"> template, page 5.</w:t>
      </w:r>
    </w:p>
    <w:p w14:paraId="64B86454" w14:textId="77777777" w:rsidR="00395559" w:rsidRDefault="00000000">
      <w:pPr>
        <w:pStyle w:val="Heading3"/>
        <w:rPr>
          <w:rFonts w:cs="Calibri"/>
          <w:lang w:val="en-GB"/>
        </w:rPr>
      </w:pPr>
      <w:bookmarkStart w:id="7" w:name="_Toc419729577"/>
      <w:bookmarkEnd w:id="6"/>
      <w:r>
        <w:rPr>
          <w:rFonts w:cs="Calibri"/>
          <w:lang w:val="en-GB"/>
        </w:rPr>
        <w:t>Installation services</w:t>
      </w:r>
      <w:bookmarkStart w:id="8" w:name="_Toc419729578"/>
      <w:bookmarkEnd w:id="7"/>
    </w:p>
    <w:p w14:paraId="10EDE0FB" w14:textId="6361B9C7" w:rsidR="00395559" w:rsidRDefault="00000000">
      <w:pPr>
        <w:rPr>
          <w:rFonts w:asciiTheme="minorHAnsi"/>
        </w:rPr>
      </w:pPr>
      <w:r>
        <w:rPr>
          <w:rFonts w:asciiTheme="minorHAnsi"/>
        </w:rPr>
        <w:t xml:space="preserve">Work implementation must be started upon the arrival of construction materials </w:t>
      </w:r>
      <w:r w:rsidR="008900FA">
        <w:rPr>
          <w:rFonts w:asciiTheme="minorHAnsi"/>
        </w:rPr>
        <w:t>at</w:t>
      </w:r>
      <w:r>
        <w:rPr>
          <w:rFonts w:asciiTheme="minorHAnsi"/>
        </w:rPr>
        <w:t xml:space="preserve"> site. </w:t>
      </w:r>
    </w:p>
    <w:p w14:paraId="10DCB755" w14:textId="77777777" w:rsidR="00395559" w:rsidRDefault="00000000">
      <w:pPr>
        <w:pStyle w:val="Heading3"/>
      </w:pPr>
      <w:r>
        <w:t>Delivery Time</w:t>
      </w:r>
      <w:bookmarkEnd w:id="8"/>
    </w:p>
    <w:p w14:paraId="7E71E98E" w14:textId="1F31B0E3" w:rsidR="00395559" w:rsidRDefault="00000000">
      <w:pPr>
        <w:rPr>
          <w:rFonts w:asciiTheme="minorHAnsi"/>
        </w:rPr>
      </w:pPr>
      <w:r>
        <w:rPr>
          <w:rFonts w:asciiTheme="minorHAnsi"/>
        </w:rPr>
        <w:t xml:space="preserve">Tenderers are required to provide their time schedule for </w:t>
      </w:r>
      <w:proofErr w:type="spellStart"/>
      <w:r>
        <w:rPr>
          <w:rFonts w:asciiTheme="minorHAnsi"/>
        </w:rPr>
        <w:t>deliver</w:t>
      </w:r>
      <w:r w:rsidR="005F65D3">
        <w:rPr>
          <w:rFonts w:asciiTheme="minorHAnsi"/>
        </w:rPr>
        <w:t>ying</w:t>
      </w:r>
      <w:proofErr w:type="spellEnd"/>
      <w:r>
        <w:rPr>
          <w:rFonts w:asciiTheme="minorHAnsi"/>
        </w:rPr>
        <w:t xml:space="preserve"> construction materials to their different respective sites. Tenderers should also indicate goods available on hand </w:t>
      </w:r>
      <w:r w:rsidR="005F65D3">
        <w:rPr>
          <w:rFonts w:asciiTheme="minorHAnsi"/>
        </w:rPr>
        <w:t xml:space="preserve">which is the highest scores is being set in this procurement. </w:t>
      </w:r>
    </w:p>
    <w:bookmarkEnd w:id="4"/>
    <w:bookmarkEnd w:id="5"/>
    <w:p w14:paraId="749ADF8D" w14:textId="77777777" w:rsidR="00C73DD9" w:rsidRDefault="00C73DD9">
      <w:pPr>
        <w:pStyle w:val="Heading2"/>
      </w:pPr>
    </w:p>
    <w:p w14:paraId="24757AB4" w14:textId="77777777" w:rsidR="00BF2B98" w:rsidRDefault="00BF2B98">
      <w:pPr>
        <w:pStyle w:val="Heading2"/>
      </w:pPr>
    </w:p>
    <w:p w14:paraId="24512A60" w14:textId="77777777" w:rsidR="005F65D3" w:rsidRDefault="005F65D3">
      <w:pPr>
        <w:pStyle w:val="Heading2"/>
      </w:pPr>
    </w:p>
    <w:p w14:paraId="7319D6D5" w14:textId="71E97598" w:rsidR="00C73DD9" w:rsidRDefault="00000000">
      <w:pPr>
        <w:pStyle w:val="Heading2"/>
      </w:pPr>
      <w:r>
        <w:t>Description of the Goods</w:t>
      </w:r>
      <w:bookmarkEnd w:id="1"/>
    </w:p>
    <w:p w14:paraId="7F68B1F6" w14:textId="77777777" w:rsidR="00C73DD9" w:rsidRPr="00C73DD9" w:rsidRDefault="00C73DD9" w:rsidP="00C73DD9">
      <w:pPr>
        <w:pStyle w:val="ListParagraph"/>
        <w:numPr>
          <w:ilvl w:val="0"/>
          <w:numId w:val="8"/>
        </w:numPr>
        <w:spacing w:before="0" w:after="0" w:line="240" w:lineRule="auto"/>
        <w:ind w:leftChars="0"/>
        <w:rPr>
          <w:b/>
          <w:sz w:val="32"/>
          <w:szCs w:val="32"/>
          <w:lang w:val="en-GB"/>
        </w:rPr>
      </w:pPr>
      <w:r>
        <w:rPr>
          <w:b/>
          <w:bCs/>
        </w:rPr>
        <w:t xml:space="preserve">Construction materials for KUC </w:t>
      </w:r>
      <w:proofErr w:type="spellStart"/>
      <w:r>
        <w:rPr>
          <w:b/>
          <w:bCs/>
        </w:rPr>
        <w:t>Otankarawa</w:t>
      </w:r>
      <w:proofErr w:type="spellEnd"/>
      <w:r>
        <w:rPr>
          <w:b/>
          <w:bCs/>
        </w:rPr>
        <w:t xml:space="preserve"> seawall, </w:t>
      </w:r>
      <w:proofErr w:type="spellStart"/>
      <w:r>
        <w:rPr>
          <w:b/>
          <w:bCs/>
        </w:rPr>
        <w:t>Bikenibeu</w:t>
      </w:r>
      <w:proofErr w:type="spellEnd"/>
    </w:p>
    <w:p w14:paraId="32FB842B" w14:textId="77777777" w:rsidR="00C73DD9" w:rsidRDefault="00C73DD9" w:rsidP="00C73DD9">
      <w:pPr>
        <w:pStyle w:val="ListParagraph"/>
        <w:spacing w:before="0" w:after="0" w:line="240" w:lineRule="auto"/>
        <w:ind w:leftChars="0" w:left="720"/>
        <w:rPr>
          <w:b/>
          <w:bCs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3980"/>
        <w:gridCol w:w="1300"/>
        <w:gridCol w:w="1720"/>
        <w:gridCol w:w="1180"/>
        <w:gridCol w:w="1160"/>
      </w:tblGrid>
      <w:tr w:rsidR="00BF2B98" w:rsidRPr="00BF2B98" w14:paraId="07C6EDF5" w14:textId="77777777" w:rsidTr="00BF2B98">
        <w:trPr>
          <w:trHeight w:val="705"/>
        </w:trPr>
        <w:tc>
          <w:tcPr>
            <w:tcW w:w="3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731B28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Material List: </w:t>
            </w:r>
            <w:proofErr w:type="spellStart"/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Otankarawa</w:t>
            </w:r>
            <w:proofErr w:type="spellEnd"/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 seawall - </w:t>
            </w:r>
            <w:proofErr w:type="spellStart"/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Bikenibeu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58D85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7305CD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652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0A281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0"/>
                <w:szCs w:val="20"/>
                <w:lang w:val="en-AU" w:eastAsia="en-AU"/>
              </w:rPr>
              <w:t> </w:t>
            </w:r>
          </w:p>
        </w:tc>
      </w:tr>
      <w:tr w:rsidR="00BF2B98" w:rsidRPr="00BF2B98" w14:paraId="76EEEA6C" w14:textId="77777777" w:rsidTr="00BF2B98">
        <w:trPr>
          <w:trHeight w:val="6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3813B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Description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19B3D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Quantities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D2EBA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Unit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7EEC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Price Quotation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E632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T/Price Quotation</w:t>
            </w:r>
          </w:p>
        </w:tc>
      </w:tr>
      <w:tr w:rsidR="00BF2B98" w:rsidRPr="00BF2B98" w14:paraId="12F66ED4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41E68" w14:textId="0CA29EF4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Portland </w:t>
            </w: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Cement 40kg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F4849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1785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DD74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bags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892D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5B9D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1123C146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B0F8F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Geotextile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09D1D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85C44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rollers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8AEC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660FE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E09C2DA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A5B78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Sandbag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3D78C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2016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0DE3E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pcs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B5D6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E86E4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FADF2E2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50B52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PVC pipe 100mm dia.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38BB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460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3A01C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FC6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51F2F684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B80B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Formply</w:t>
            </w:r>
            <w:proofErr w:type="spellEnd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 sheets 3/4"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0661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8A5D8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shts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191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3A94E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E7FD2FB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81658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Timber 100x50mm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E197E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C36D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length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9FF79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A746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1A87D5AB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DB8EF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4"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C62D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7DC64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DAD2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D72B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6B2D7CF3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CB126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3"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E934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34709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8E14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69BA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0F1733D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F7415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Nail 1½" flat head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5229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C05D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kg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0767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0EA82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28719322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EC83A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Tape measure 50 </w:t>
            </w: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mtr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3FD1C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2032D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8D51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A5091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125D354E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4BA1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 xml:space="preserve">Tape measure 8 </w:t>
            </w: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mtr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35E1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FE323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98CDC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90E9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69E1CEE9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2B227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Hand saw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93A37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B24BA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CB7C1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24C32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2C8A1FE3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BBC0E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gram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Crow bar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1EC8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B340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7ADD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E373D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17ECE785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623B4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Claw hammer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7AE0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A859E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4D89E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E42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36925A14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7AAA50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Shovels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4A676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2F02F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50375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264D0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2FF34B2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74ED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gram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Wheel barrow</w:t>
            </w:r>
            <w:proofErr w:type="gram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82C3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446F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F4F1C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B784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16743958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5602A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Gloves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6FA6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10543F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CDC2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61019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38946537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8A988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Safety glasses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C819A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4B775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B410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71E6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05DB9E2B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BAE99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Rubber boot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5DF39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10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17E07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prs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C90BC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94CFF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3950A2A9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8EB1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Vest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2098B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1340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084D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44ED2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59887831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CF519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Helmet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3B9C5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AU" w:eastAsia="en-AU"/>
              </w:rPr>
              <w:t>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A6D72" w14:textId="77777777" w:rsidR="00BF2B98" w:rsidRPr="00BF2B98" w:rsidRDefault="00BF2B98" w:rsidP="00BF2B9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proofErr w:type="spellStart"/>
            <w:r w:rsidRPr="00BF2B98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nos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6EB4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C363" w14:textId="77777777" w:rsidR="00BF2B98" w:rsidRPr="00BF2B98" w:rsidRDefault="00BF2B98" w:rsidP="00BF2B98">
            <w:pPr>
              <w:spacing w:before="0" w:after="0" w:line="240" w:lineRule="auto"/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eastAsia="Times New Roman"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7E7343E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D7B9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 xml:space="preserve">Total cost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D1F1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1B615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31ED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F12F6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05E69BB4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C164D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vat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05167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FB68E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5322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10842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764F5548" w14:textId="77777777" w:rsidTr="00BF2B98">
        <w:trPr>
          <w:trHeight w:val="31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0060E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lastRenderedPageBreak/>
              <w:t>Other charges if any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533BB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E7575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F240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67EE8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  <w:tr w:rsidR="00BF2B98" w:rsidRPr="00BF2B98" w14:paraId="40FB60B1" w14:textId="77777777" w:rsidTr="00BF2B98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A48A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Total cost (vat inclusive)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025DC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6010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6F1F3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AA3B" w14:textId="77777777" w:rsidR="00BF2B98" w:rsidRPr="00BF2B98" w:rsidRDefault="00BF2B98" w:rsidP="00BF2B9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</w:pPr>
            <w:r w:rsidRPr="00BF2B9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n-AU" w:eastAsia="en-AU"/>
              </w:rPr>
              <w:t> </w:t>
            </w:r>
          </w:p>
        </w:tc>
      </w:tr>
    </w:tbl>
    <w:p w14:paraId="41539919" w14:textId="6A680101" w:rsidR="00395559" w:rsidRPr="00C73DD9" w:rsidRDefault="00C73DD9" w:rsidP="00C73DD9">
      <w:pPr>
        <w:pStyle w:val="ListParagraph"/>
        <w:spacing w:before="0" w:after="0" w:line="240" w:lineRule="auto"/>
        <w:ind w:leftChars="0" w:left="720"/>
        <w:rPr>
          <w:b/>
          <w:sz w:val="32"/>
          <w:szCs w:val="32"/>
          <w:lang w:val="en-GB"/>
        </w:rPr>
      </w:pPr>
      <w:r w:rsidRPr="00C73DD9">
        <w:rPr>
          <w:b/>
          <w:bCs/>
        </w:rPr>
        <w:t xml:space="preserve"> </w:t>
      </w:r>
    </w:p>
    <w:p w14:paraId="5A069DE5" w14:textId="77777777" w:rsidR="00091275" w:rsidRPr="00E86CF1" w:rsidRDefault="00091275" w:rsidP="00091275"/>
    <w:p w14:paraId="29D9A939" w14:textId="446C0742" w:rsidR="008E4523" w:rsidRPr="005F65D3" w:rsidRDefault="008E4523" w:rsidP="008E4523">
      <w:pPr>
        <w:rPr>
          <w:b/>
          <w:bCs/>
          <w:i/>
          <w:iCs/>
        </w:rPr>
      </w:pPr>
    </w:p>
    <w:sectPr w:rsidR="008E4523" w:rsidRPr="005F65D3">
      <w:headerReference w:type="default" r:id="rId12"/>
      <w:footerReference w:type="default" r:id="rId13"/>
      <w:type w:val="oddPage"/>
      <w:pgSz w:w="11907" w:h="16839"/>
      <w:pgMar w:top="1701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E0C2D" w14:textId="77777777" w:rsidR="00976A4D" w:rsidRDefault="00976A4D">
      <w:pPr>
        <w:spacing w:before="0" w:after="0" w:line="240" w:lineRule="auto"/>
      </w:pPr>
      <w:r>
        <w:separator/>
      </w:r>
    </w:p>
  </w:endnote>
  <w:endnote w:type="continuationSeparator" w:id="0">
    <w:p w14:paraId="650FFC3F" w14:textId="77777777" w:rsidR="00976A4D" w:rsidRDefault="00976A4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한양신명조">
    <w:altName w:val="Batang"/>
    <w:charset w:val="81"/>
    <w:family w:val="roman"/>
    <w:pitch w:val="default"/>
    <w:sig w:usb0="00000000" w:usb1="00000000" w:usb2="00000010" w:usb3="00000000" w:csb0="00080000" w:csb1="00000000"/>
  </w:font>
  <w:font w:name="산세리프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Gulim">
    <w:altName w:val="Malgun Gothic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Malgun Gothic"/>
    <w:charset w:val="81"/>
    <w:family w:val="auto"/>
    <w:pitch w:val="default"/>
    <w:sig w:usb0="00000000" w:usb1="00000000" w:usb2="00000010" w:usb3="00000000" w:csb0="00080000" w:csb1="00000000"/>
  </w:font>
  <w:font w:name="HCI Poppy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37BF8" w14:textId="77777777" w:rsidR="00395559" w:rsidRDefault="0000000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4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>
      <w:rPr>
        <w:color w:val="17365D" w:themeColor="text2" w:themeShade="BF"/>
        <w:lang w:val="sv-SE"/>
      </w:rPr>
      <w:t>11</w:t>
    </w:r>
    <w:r>
      <w:rPr>
        <w:color w:val="17365D" w:themeColor="text2" w:themeShade="BF"/>
      </w:rPr>
      <w:fldChar w:fldCharType="end"/>
    </w:r>
  </w:p>
  <w:p w14:paraId="40E7B089" w14:textId="5BEC79E1" w:rsidR="00395559" w:rsidRDefault="00000000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5F65D3">
      <w:rPr>
        <w:noProof/>
      </w:rPr>
      <w:t>2023-08-10</w:t>
    </w:r>
    <w:r>
      <w:fldChar w:fldCharType="end"/>
    </w:r>
  </w:p>
  <w:p w14:paraId="136C50A3" w14:textId="77777777" w:rsidR="00395559" w:rsidRDefault="0039555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A4B7D5" w14:textId="77777777" w:rsidR="00976A4D" w:rsidRDefault="00976A4D">
      <w:pPr>
        <w:spacing w:before="0" w:after="0" w:line="240" w:lineRule="auto"/>
      </w:pPr>
      <w:r>
        <w:separator/>
      </w:r>
    </w:p>
  </w:footnote>
  <w:footnote w:type="continuationSeparator" w:id="0">
    <w:p w14:paraId="4F6C4352" w14:textId="77777777" w:rsidR="00976A4D" w:rsidRDefault="00976A4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E1A26" w14:textId="77777777" w:rsidR="00395559" w:rsidRDefault="00000000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>
      <w:rPr>
        <w:noProof/>
      </w:rPr>
      <w:drawing>
        <wp:inline distT="0" distB="0" distL="0" distR="0" wp14:anchorId="3FC0A103" wp14:editId="5BEDC342">
          <wp:extent cx="590550" cy="645795"/>
          <wp:effectExtent l="0" t="0" r="0" b="1905"/>
          <wp:docPr id="11" name="Picture 6" descr="{{{coat_alt}}}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6" descr="{{{coat_alt}}}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165DFB"/>
    <w:multiLevelType w:val="singleLevel"/>
    <w:tmpl w:val="9C165DF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CA0400"/>
    <w:multiLevelType w:val="hybridMultilevel"/>
    <w:tmpl w:val="76865A0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BF4"/>
    <w:multiLevelType w:val="multilevel"/>
    <w:tmpl w:val="0E452BF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EastAsia" w:cstheme="minorEastAsi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23553"/>
    <w:multiLevelType w:val="hybridMultilevel"/>
    <w:tmpl w:val="6B5293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27BFD"/>
    <w:multiLevelType w:val="multilevel"/>
    <w:tmpl w:val="20B27BFD"/>
    <w:lvl w:ilvl="0">
      <w:start w:val="1"/>
      <w:numFmt w:val="bullet"/>
      <w:pStyle w:val="01squarebullet"/>
      <w:lvlText w:val="■"/>
      <w:lvlJc w:val="left"/>
      <w:pPr>
        <w:tabs>
          <w:tab w:val="left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left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left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left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left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317"/>
        </w:tabs>
        <w:ind w:left="3317" w:hanging="360"/>
      </w:pPr>
      <w:rPr>
        <w:rFonts w:hint="default"/>
      </w:rPr>
    </w:lvl>
  </w:abstractNum>
  <w:abstractNum w:abstractNumId="5" w15:restartNumberingAfterBreak="0">
    <w:nsid w:val="453309D0"/>
    <w:multiLevelType w:val="hybridMultilevel"/>
    <w:tmpl w:val="A76C46B6"/>
    <w:lvl w:ilvl="0" w:tplc="DFEE52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EC20E"/>
    <w:multiLevelType w:val="singleLevel"/>
    <w:tmpl w:val="453EC20E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7B8E557E"/>
    <w:multiLevelType w:val="multilevel"/>
    <w:tmpl w:val="7B8E557E"/>
    <w:lvl w:ilvl="0">
      <w:start w:val="1"/>
      <w:numFmt w:val="decimal"/>
      <w:pStyle w:val="05number1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left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left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left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num w:numId="1" w16cid:durableId="128670640">
    <w:abstractNumId w:val="4"/>
  </w:num>
  <w:num w:numId="2" w16cid:durableId="906067302">
    <w:abstractNumId w:val="7"/>
  </w:num>
  <w:num w:numId="3" w16cid:durableId="1121193673">
    <w:abstractNumId w:val="6"/>
  </w:num>
  <w:num w:numId="4" w16cid:durableId="425077413">
    <w:abstractNumId w:val="2"/>
  </w:num>
  <w:num w:numId="5" w16cid:durableId="1991591707">
    <w:abstractNumId w:val="0"/>
  </w:num>
  <w:num w:numId="6" w16cid:durableId="1539977103">
    <w:abstractNumId w:val="1"/>
  </w:num>
  <w:num w:numId="7" w16cid:durableId="929892763">
    <w:abstractNumId w:val="3"/>
  </w:num>
  <w:num w:numId="8" w16cid:durableId="13750838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275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0F7FB4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5BF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12A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0764"/>
    <w:rsid w:val="001A10C5"/>
    <w:rsid w:val="001A2D81"/>
    <w:rsid w:val="001B2828"/>
    <w:rsid w:val="001B28AC"/>
    <w:rsid w:val="001B2C66"/>
    <w:rsid w:val="001B54D2"/>
    <w:rsid w:val="001B6479"/>
    <w:rsid w:val="001B6E4F"/>
    <w:rsid w:val="001C2683"/>
    <w:rsid w:val="001C49D5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E4E50"/>
    <w:rsid w:val="001F001C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4127"/>
    <w:rsid w:val="0021447B"/>
    <w:rsid w:val="00216E68"/>
    <w:rsid w:val="002205D6"/>
    <w:rsid w:val="00222B09"/>
    <w:rsid w:val="002230AA"/>
    <w:rsid w:val="00223137"/>
    <w:rsid w:val="00224EE4"/>
    <w:rsid w:val="00227D1F"/>
    <w:rsid w:val="00227FDC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C8A"/>
    <w:rsid w:val="00252B07"/>
    <w:rsid w:val="00252F49"/>
    <w:rsid w:val="00255751"/>
    <w:rsid w:val="00255B8B"/>
    <w:rsid w:val="0025765E"/>
    <w:rsid w:val="00260064"/>
    <w:rsid w:val="00260C61"/>
    <w:rsid w:val="00262EF1"/>
    <w:rsid w:val="002642E5"/>
    <w:rsid w:val="00265D39"/>
    <w:rsid w:val="0026708A"/>
    <w:rsid w:val="00270289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740"/>
    <w:rsid w:val="002A48FA"/>
    <w:rsid w:val="002A5F73"/>
    <w:rsid w:val="002A6735"/>
    <w:rsid w:val="002A696D"/>
    <w:rsid w:val="002A6EEC"/>
    <w:rsid w:val="002B05CA"/>
    <w:rsid w:val="002B39E4"/>
    <w:rsid w:val="002B4161"/>
    <w:rsid w:val="002B4228"/>
    <w:rsid w:val="002B5EF8"/>
    <w:rsid w:val="002B68E8"/>
    <w:rsid w:val="002B7E00"/>
    <w:rsid w:val="002C0E6E"/>
    <w:rsid w:val="002C2931"/>
    <w:rsid w:val="002C2C72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A53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42B6"/>
    <w:rsid w:val="003844E6"/>
    <w:rsid w:val="003849F9"/>
    <w:rsid w:val="003854F3"/>
    <w:rsid w:val="0038683A"/>
    <w:rsid w:val="00386C6E"/>
    <w:rsid w:val="00387A05"/>
    <w:rsid w:val="003919BB"/>
    <w:rsid w:val="00391E47"/>
    <w:rsid w:val="00394D7F"/>
    <w:rsid w:val="00395559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C0955"/>
    <w:rsid w:val="003C0A7D"/>
    <w:rsid w:val="003C1F1F"/>
    <w:rsid w:val="003C2FDD"/>
    <w:rsid w:val="003C3B9D"/>
    <w:rsid w:val="003C68FA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766E"/>
    <w:rsid w:val="003E06EC"/>
    <w:rsid w:val="003E1B04"/>
    <w:rsid w:val="003E3D1B"/>
    <w:rsid w:val="003E3DC5"/>
    <w:rsid w:val="003E3EC4"/>
    <w:rsid w:val="003E576E"/>
    <w:rsid w:val="003E5941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A05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5F89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46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65D3"/>
    <w:rsid w:val="0060133A"/>
    <w:rsid w:val="00601BCE"/>
    <w:rsid w:val="00601F98"/>
    <w:rsid w:val="006021ED"/>
    <w:rsid w:val="006024A3"/>
    <w:rsid w:val="00602BF6"/>
    <w:rsid w:val="00603A2E"/>
    <w:rsid w:val="006042CA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89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031B"/>
    <w:rsid w:val="006A14D3"/>
    <w:rsid w:val="006A155A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53A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1773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2074"/>
    <w:rsid w:val="00772E2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28C6"/>
    <w:rsid w:val="007A3E71"/>
    <w:rsid w:val="007A56FE"/>
    <w:rsid w:val="007A5E4A"/>
    <w:rsid w:val="007A73C9"/>
    <w:rsid w:val="007A75CD"/>
    <w:rsid w:val="007B04E2"/>
    <w:rsid w:val="007B0AEC"/>
    <w:rsid w:val="007B2CFF"/>
    <w:rsid w:val="007B32D1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464A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55A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0F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4523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08E1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1C"/>
    <w:rsid w:val="009649F8"/>
    <w:rsid w:val="00966C8C"/>
    <w:rsid w:val="00970741"/>
    <w:rsid w:val="00971142"/>
    <w:rsid w:val="0097167C"/>
    <w:rsid w:val="00976A4D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B69"/>
    <w:rsid w:val="00992F9D"/>
    <w:rsid w:val="0099323C"/>
    <w:rsid w:val="00993409"/>
    <w:rsid w:val="009941A9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095D"/>
    <w:rsid w:val="009E1485"/>
    <w:rsid w:val="009E278C"/>
    <w:rsid w:val="009E4037"/>
    <w:rsid w:val="009E6E15"/>
    <w:rsid w:val="009E6F73"/>
    <w:rsid w:val="009F05F8"/>
    <w:rsid w:val="009F2022"/>
    <w:rsid w:val="009F3EDC"/>
    <w:rsid w:val="009F3EFE"/>
    <w:rsid w:val="009F418F"/>
    <w:rsid w:val="009F4691"/>
    <w:rsid w:val="009F543D"/>
    <w:rsid w:val="009F7BC6"/>
    <w:rsid w:val="009F7E86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751"/>
    <w:rsid w:val="00A53C84"/>
    <w:rsid w:val="00A54748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A84"/>
    <w:rsid w:val="00A64E4F"/>
    <w:rsid w:val="00A66587"/>
    <w:rsid w:val="00A71246"/>
    <w:rsid w:val="00A74C87"/>
    <w:rsid w:val="00A755AB"/>
    <w:rsid w:val="00A77489"/>
    <w:rsid w:val="00A805A8"/>
    <w:rsid w:val="00A80A74"/>
    <w:rsid w:val="00A83FE5"/>
    <w:rsid w:val="00A841EA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A25EB"/>
    <w:rsid w:val="00AA2A14"/>
    <w:rsid w:val="00AA2ACE"/>
    <w:rsid w:val="00AA4B37"/>
    <w:rsid w:val="00AA5D24"/>
    <w:rsid w:val="00AA6A07"/>
    <w:rsid w:val="00AA6AF4"/>
    <w:rsid w:val="00AA78A5"/>
    <w:rsid w:val="00AB023E"/>
    <w:rsid w:val="00AB175B"/>
    <w:rsid w:val="00AB2D4E"/>
    <w:rsid w:val="00AB3980"/>
    <w:rsid w:val="00AB3D56"/>
    <w:rsid w:val="00AB5ECE"/>
    <w:rsid w:val="00AB6DCA"/>
    <w:rsid w:val="00AC0AF5"/>
    <w:rsid w:val="00AC0C27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D7F57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8B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4325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D0C4F"/>
    <w:rsid w:val="00BD231C"/>
    <w:rsid w:val="00BD3F80"/>
    <w:rsid w:val="00BE014E"/>
    <w:rsid w:val="00BE197B"/>
    <w:rsid w:val="00BE298B"/>
    <w:rsid w:val="00BE5A4D"/>
    <w:rsid w:val="00BE69E9"/>
    <w:rsid w:val="00BE74B9"/>
    <w:rsid w:val="00BE7EDE"/>
    <w:rsid w:val="00BF18AF"/>
    <w:rsid w:val="00BF1D8C"/>
    <w:rsid w:val="00BF2557"/>
    <w:rsid w:val="00BF2B98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4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4890"/>
    <w:rsid w:val="00C4656F"/>
    <w:rsid w:val="00C47D72"/>
    <w:rsid w:val="00C50F39"/>
    <w:rsid w:val="00C51290"/>
    <w:rsid w:val="00C56AA5"/>
    <w:rsid w:val="00C575E1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3DD9"/>
    <w:rsid w:val="00C77949"/>
    <w:rsid w:val="00C77BA9"/>
    <w:rsid w:val="00C80792"/>
    <w:rsid w:val="00C83691"/>
    <w:rsid w:val="00C83A19"/>
    <w:rsid w:val="00C83BBA"/>
    <w:rsid w:val="00C83D16"/>
    <w:rsid w:val="00C84914"/>
    <w:rsid w:val="00C86D4D"/>
    <w:rsid w:val="00C9023A"/>
    <w:rsid w:val="00C904E8"/>
    <w:rsid w:val="00C911BE"/>
    <w:rsid w:val="00C9215E"/>
    <w:rsid w:val="00C92424"/>
    <w:rsid w:val="00C928DF"/>
    <w:rsid w:val="00C92A68"/>
    <w:rsid w:val="00C93AD5"/>
    <w:rsid w:val="00C93C27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1CF8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1A96"/>
    <w:rsid w:val="00D81CA7"/>
    <w:rsid w:val="00D81F19"/>
    <w:rsid w:val="00D82282"/>
    <w:rsid w:val="00D85B59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3C30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3BC2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CF1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C72C1"/>
    <w:rsid w:val="00ED10DE"/>
    <w:rsid w:val="00ED1288"/>
    <w:rsid w:val="00ED463D"/>
    <w:rsid w:val="00ED6A7D"/>
    <w:rsid w:val="00ED6D67"/>
    <w:rsid w:val="00EE1027"/>
    <w:rsid w:val="00EE49F6"/>
    <w:rsid w:val="00EE5C29"/>
    <w:rsid w:val="00EE676F"/>
    <w:rsid w:val="00EF0B59"/>
    <w:rsid w:val="00EF16D7"/>
    <w:rsid w:val="00EF1BBC"/>
    <w:rsid w:val="00EF2FA0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1958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3BCD"/>
    <w:rsid w:val="00FD4F46"/>
    <w:rsid w:val="00FD5674"/>
    <w:rsid w:val="00FD73C4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B8C"/>
    <w:rsid w:val="00FF30C5"/>
    <w:rsid w:val="00FF5424"/>
    <w:rsid w:val="00FF6207"/>
    <w:rsid w:val="00FF6BDE"/>
    <w:rsid w:val="00FF72A3"/>
    <w:rsid w:val="00FF742C"/>
    <w:rsid w:val="00FF7A15"/>
    <w:rsid w:val="00FF7B55"/>
    <w:rsid w:val="13467953"/>
    <w:rsid w:val="17B06418"/>
    <w:rsid w:val="1C6232CC"/>
    <w:rsid w:val="1D8668DC"/>
    <w:rsid w:val="1EDF76D6"/>
    <w:rsid w:val="1F8C297A"/>
    <w:rsid w:val="20B93C9C"/>
    <w:rsid w:val="224538E7"/>
    <w:rsid w:val="230E3E30"/>
    <w:rsid w:val="2EED63AF"/>
    <w:rsid w:val="344B31C1"/>
    <w:rsid w:val="37911511"/>
    <w:rsid w:val="39911CB3"/>
    <w:rsid w:val="3E7E5464"/>
    <w:rsid w:val="416B1D7D"/>
    <w:rsid w:val="45845D2A"/>
    <w:rsid w:val="48844061"/>
    <w:rsid w:val="565508FE"/>
    <w:rsid w:val="56702AF5"/>
    <w:rsid w:val="5982734C"/>
    <w:rsid w:val="5CE86E5B"/>
    <w:rsid w:val="5D2806FE"/>
    <w:rsid w:val="60732628"/>
    <w:rsid w:val="67E13650"/>
    <w:rsid w:val="785307E8"/>
    <w:rsid w:val="7F831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B3FE7A"/>
  <w15:docId w15:val="{B6897E8F-EC72-442A-922E-A8B55659E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uiPriority="99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uiPriority="99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qFormat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pPr>
      <w:keepNext/>
      <w:keepLines/>
      <w:spacing w:before="240" w:after="240" w:line="259" w:lineRule="auto"/>
      <w:jc w:val="center"/>
      <w:outlineLvl w:val="0"/>
    </w:pPr>
    <w:rPr>
      <w:rFonts w:ascii="Calibri" w:eastAsia="Malgun Gothic" w:hAnsi="Calibri"/>
      <w:b/>
      <w:sz w:val="36"/>
      <w:szCs w:val="24"/>
      <w:lang w:val="en-GB" w:eastAsia="en-GB"/>
    </w:rPr>
  </w:style>
  <w:style w:type="paragraph" w:styleId="Heading2">
    <w:name w:val="heading 2"/>
    <w:next w:val="Normal"/>
    <w:link w:val="Heading2Char"/>
    <w:qFormat/>
    <w:pPr>
      <w:keepNext/>
      <w:keepLines/>
      <w:spacing w:before="360" w:after="240" w:line="259" w:lineRule="auto"/>
      <w:outlineLvl w:val="1"/>
    </w:pPr>
    <w:rPr>
      <w:rFonts w:ascii="Calibri" w:eastAsia="Malgun Gothic" w:hAnsi="Calibri"/>
      <w:b/>
      <w:sz w:val="32"/>
      <w:szCs w:val="32"/>
      <w:lang w:val="en-GB" w:eastAsia="en-US"/>
    </w:rPr>
  </w:style>
  <w:style w:type="paragraph" w:styleId="Heading3">
    <w:name w:val="heading 3"/>
    <w:next w:val="Normal"/>
    <w:qFormat/>
    <w:pPr>
      <w:keepNext/>
      <w:keepLines/>
      <w:spacing w:before="360" w:after="240" w:line="259" w:lineRule="auto"/>
      <w:outlineLvl w:val="2"/>
    </w:pPr>
    <w:rPr>
      <w:rFonts w:ascii="Calibri" w:eastAsia="Malgun Gothic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pPr>
      <w:keepNext/>
      <w:keepLines/>
      <w:spacing w:before="240" w:after="120" w:line="259" w:lineRule="auto"/>
      <w:outlineLvl w:val="3"/>
    </w:pPr>
    <w:rPr>
      <w:rFonts w:ascii="Calibri" w:eastAsia="Malgun Gothic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qFormat/>
    <w:pPr>
      <w:spacing w:after="240"/>
    </w:pPr>
  </w:style>
  <w:style w:type="paragraph" w:styleId="BalloonText">
    <w:name w:val="Balloon Text"/>
    <w:basedOn w:val="Normal"/>
    <w:link w:val="BalloonTextChar"/>
    <w:qFormat/>
    <w:rPr>
      <w:rFonts w:ascii="Malgun Gothic" w:hAnsi="Malgun Gothic"/>
      <w:sz w:val="18"/>
      <w:szCs w:val="18"/>
    </w:rPr>
  </w:style>
  <w:style w:type="paragraph" w:styleId="BodyText">
    <w:name w:val="Body Text"/>
    <w:basedOn w:val="Normal"/>
    <w:qFormat/>
    <w:pPr>
      <w:suppressAutoHyphens/>
      <w:spacing w:after="120"/>
      <w:jc w:val="both"/>
    </w:pPr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paragraph" w:styleId="BodyTextIndent">
    <w:name w:val="Body Text Indent"/>
    <w:basedOn w:val="Normal"/>
    <w:link w:val="BodyTextIndentChar"/>
    <w:qFormat/>
    <w:pPr>
      <w:spacing w:after="120"/>
      <w:ind w:left="360"/>
    </w:pPr>
    <w:rPr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qFormat/>
    <w:rPr>
      <w:rFonts w:ascii="Arial" w:hAnsi="Arial"/>
      <w:sz w:val="20"/>
      <w:szCs w:val="20"/>
      <w:lang w:val="de-DE" w:eastAsia="de-DE"/>
    </w:rPr>
  </w:style>
  <w:style w:type="paragraph" w:styleId="CommentSubject">
    <w:name w:val="annotation subject"/>
    <w:basedOn w:val="CommentText"/>
    <w:next w:val="CommentText"/>
    <w:semiHidden/>
    <w:qFormat/>
    <w:rPr>
      <w:rFonts w:ascii="Times New Roman" w:hAnsi="Times New Roman"/>
      <w:b/>
      <w:bCs/>
      <w:lang w:val="en-US" w:eastAsia="en-US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FootnoteText">
    <w:name w:val="footnote text"/>
    <w:basedOn w:val="Normal"/>
    <w:link w:val="FootnoteTextChar"/>
    <w:semiHidden/>
    <w:qFormat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zCs w:val="20"/>
    </w:rPr>
  </w:style>
  <w:style w:type="paragraph" w:styleId="MacroText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/>
      <w:lang w:eastAsia="ko-KR"/>
    </w:rPr>
  </w:style>
  <w:style w:type="paragraph" w:styleId="NormalIndent">
    <w:name w:val="Normal Indent"/>
    <w:basedOn w:val="Normal"/>
    <w:qFormat/>
    <w:pPr>
      <w:ind w:left="720"/>
    </w:pPr>
  </w:style>
  <w:style w:type="paragraph" w:styleId="PlainText">
    <w:name w:val="Plain Text"/>
    <w:basedOn w:val="Normal"/>
    <w:link w:val="PlainTextChar"/>
    <w:unhideWhenUsed/>
    <w:qFormat/>
    <w:rPr>
      <w:rFonts w:ascii="Consolas" w:eastAsia="Calibri" w:hAnsi="Consolas"/>
      <w:sz w:val="21"/>
      <w:szCs w:val="21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qFormat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qFormat/>
    <w:pPr>
      <w:tabs>
        <w:tab w:val="right" w:leader="dot" w:pos="9360"/>
      </w:tabs>
      <w:ind w:left="2880"/>
    </w:pPr>
    <w:rPr>
      <w:sz w:val="18"/>
    </w:rPr>
  </w:style>
  <w:style w:type="paragraph" w:styleId="TOC6">
    <w:name w:val="toc 6"/>
    <w:basedOn w:val="Normal"/>
    <w:next w:val="Normal"/>
    <w:semiHidden/>
    <w:qFormat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qFormat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qFormat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qFormat/>
    <w:pPr>
      <w:tabs>
        <w:tab w:val="right" w:leader="dot" w:pos="9360"/>
      </w:tabs>
      <w:ind w:left="1680"/>
    </w:pPr>
    <w:rPr>
      <w:sz w:val="18"/>
    </w:rPr>
  </w:style>
  <w:style w:type="character" w:styleId="CommentReference">
    <w:name w:val="annotation reference"/>
    <w:uiPriority w:val="99"/>
    <w:unhideWhenUsed/>
    <w:qFormat/>
    <w:rPr>
      <w:sz w:val="18"/>
      <w:szCs w:val="18"/>
    </w:rPr>
  </w:style>
  <w:style w:type="character" w:styleId="FollowedHyperlink">
    <w:name w:val="FollowedHyperlink"/>
    <w:basedOn w:val="DefaultParagraphFont"/>
    <w:semiHidden/>
    <w:unhideWhenUsed/>
    <w:qFormat/>
    <w:rPr>
      <w:color w:val="800080" w:themeColor="followedHyperlink"/>
      <w:u w:val="single"/>
    </w:rPr>
  </w:style>
  <w:style w:type="character" w:styleId="FootnoteReference">
    <w:name w:val="footnote reference"/>
    <w:semiHidden/>
    <w:qFormat/>
    <w:rPr>
      <w:rFonts w:ascii="Times New Roman" w:hAnsi="Times New Roman"/>
      <w:position w:val="0"/>
      <w:sz w:val="24"/>
      <w:vertAlign w:val="superscript"/>
    </w:r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character" w:styleId="Strong">
    <w:name w:val="Strong"/>
    <w:qFormat/>
    <w:rPr>
      <w:b/>
      <w:bCs/>
    </w:rPr>
  </w:style>
  <w:style w:type="table" w:styleId="TableGrid">
    <w:name w:val="Table Grid"/>
    <w:basedOn w:val="TableNormal"/>
    <w:uiPriority w:val="59"/>
    <w:qFormat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Number">
    <w:name w:val="ChapterNumber"/>
    <w:basedOn w:val="Normal"/>
    <w:next w:val="Normal"/>
    <w:qFormat/>
    <w:pPr>
      <w:spacing w:after="360"/>
    </w:pPr>
  </w:style>
  <w:style w:type="paragraph" w:customStyle="1" w:styleId="TextBox">
    <w:name w:val="Text Box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jc w:val="both"/>
    </w:pPr>
    <w:rPr>
      <w:sz w:val="22"/>
    </w:rPr>
  </w:style>
  <w:style w:type="paragraph" w:customStyle="1" w:styleId="TextBoxdots">
    <w:name w:val="Text Box (dots)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qFormat/>
    <w:pPr>
      <w:keepLines/>
      <w:framePr w:hSpace="187" w:wrap="around" w:vAnchor="text" w:hAnchor="text" w:xAlign="right" w:y="1"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qFormat/>
    <w:pPr>
      <w:keepLines/>
      <w:pBdr>
        <w:top w:val="single" w:sz="6" w:space="7" w:color="auto"/>
        <w:left w:val="single" w:sz="6" w:space="7" w:color="auto"/>
        <w:bottom w:val="single" w:sz="6" w:space="7" w:color="auto"/>
        <w:right w:val="single" w:sz="6" w:space="7" w:color="auto"/>
      </w:pBdr>
      <w:shd w:val="pct10" w:color="auto" w:fill="auto"/>
    </w:pPr>
    <w:rPr>
      <w:sz w:val="22"/>
    </w:rPr>
  </w:style>
  <w:style w:type="paragraph" w:customStyle="1" w:styleId="Heading1a">
    <w:name w:val="Heading 1a"/>
    <w:basedOn w:val="Heading1"/>
    <w:next w:val="BankNormal"/>
    <w:qFormat/>
    <w:pPr>
      <w:outlineLvl w:val="9"/>
    </w:pPr>
  </w:style>
  <w:style w:type="character" w:customStyle="1" w:styleId="BalloonTextChar">
    <w:name w:val="Balloon Text Char"/>
    <w:link w:val="BalloonText"/>
    <w:qFormat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qFormat/>
    <w:rPr>
      <w:sz w:val="24"/>
      <w:lang w:eastAsia="en-US"/>
    </w:rPr>
  </w:style>
  <w:style w:type="character" w:customStyle="1" w:styleId="Heading1Char">
    <w:name w:val="Heading 1 Char"/>
    <w:link w:val="Heading1"/>
    <w:qFormat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qFormat/>
    <w:rPr>
      <w:sz w:val="24"/>
    </w:rPr>
  </w:style>
  <w:style w:type="character" w:customStyle="1" w:styleId="FootnoteTextChar">
    <w:name w:val="Footnote Text Char"/>
    <w:link w:val="FootnoteText"/>
    <w:semiHidden/>
    <w:qFormat/>
  </w:style>
  <w:style w:type="paragraph" w:customStyle="1" w:styleId="ColorfulList-Accent11">
    <w:name w:val="Colorful List - Accent 11"/>
    <w:basedOn w:val="Normal"/>
    <w:uiPriority w:val="99"/>
    <w:qFormat/>
    <w:pPr>
      <w:ind w:left="720"/>
      <w:contextualSpacing/>
    </w:pPr>
    <w:rPr>
      <w:rFonts w:ascii="Cambria" w:hAnsi="Cambria"/>
    </w:r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de-DE" w:eastAsia="de-DE"/>
    </w:rPr>
  </w:style>
  <w:style w:type="character" w:customStyle="1" w:styleId="green14">
    <w:name w:val="green_14"/>
    <w:basedOn w:val="DefaultParagraphFont"/>
    <w:qFormat/>
  </w:style>
  <w:style w:type="character" w:customStyle="1" w:styleId="FooterChar">
    <w:name w:val="Footer Char"/>
    <w:link w:val="Footer"/>
    <w:uiPriority w:val="99"/>
    <w:qFormat/>
    <w:rPr>
      <w:sz w:val="24"/>
    </w:rPr>
  </w:style>
  <w:style w:type="character" w:customStyle="1" w:styleId="BodyTextIndentChar">
    <w:name w:val="Body Text Indent Char"/>
    <w:link w:val="BodyTextIndent"/>
    <w:qFormat/>
    <w:rPr>
      <w:sz w:val="24"/>
    </w:rPr>
  </w:style>
  <w:style w:type="character" w:customStyle="1" w:styleId="PlainTextChar">
    <w:name w:val="Plain Text Char"/>
    <w:link w:val="PlainText"/>
    <w:qFormat/>
    <w:rPr>
      <w:rFonts w:ascii="Consolas" w:eastAsia="Calibri" w:hAnsi="Consolas"/>
      <w:sz w:val="21"/>
      <w:szCs w:val="21"/>
    </w:rPr>
  </w:style>
  <w:style w:type="character" w:customStyle="1" w:styleId="BodyText3Char">
    <w:name w:val="Body Text 3 Char"/>
    <w:link w:val="BodyText3"/>
    <w:qFormat/>
    <w:rPr>
      <w:sz w:val="16"/>
      <w:szCs w:val="16"/>
    </w:rPr>
  </w:style>
  <w:style w:type="paragraph" w:customStyle="1" w:styleId="a">
    <w:name w:val="선그리기"/>
    <w:basedOn w:val="Normal"/>
    <w:qFormat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pPr>
      <w:spacing w:after="160" w:line="259" w:lineRule="auto"/>
    </w:pPr>
    <w:rPr>
      <w:rFonts w:ascii="Calibri" w:eastAsia="Malgun Gothic" w:hAnsi="Calibri"/>
      <w:kern w:val="2"/>
      <w:sz w:val="24"/>
      <w:szCs w:val="24"/>
      <w:lang w:val="en-GB" w:eastAsia="ko-KR"/>
    </w:rPr>
  </w:style>
  <w:style w:type="paragraph" w:customStyle="1" w:styleId="a0">
    <w:name w:val="바탕글"/>
    <w:basedOn w:val="Normal"/>
    <w:qFormat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qFormat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qFormat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qFormat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qFormat/>
    <w:pPr>
      <w:numPr>
        <w:ilvl w:val="1"/>
      </w:numPr>
    </w:pPr>
  </w:style>
  <w:style w:type="paragraph" w:customStyle="1" w:styleId="03opensquarebullet">
    <w:name w:val="03 open square bullet"/>
    <w:basedOn w:val="02dash"/>
    <w:qFormat/>
    <w:pPr>
      <w:numPr>
        <w:ilvl w:val="2"/>
      </w:numPr>
      <w:ind w:left="936" w:hanging="288"/>
    </w:pPr>
  </w:style>
  <w:style w:type="paragraph" w:customStyle="1" w:styleId="04shortdash">
    <w:name w:val="04 short dash"/>
    <w:basedOn w:val="03opensquarebullet"/>
    <w:qFormat/>
    <w:pPr>
      <w:numPr>
        <w:ilvl w:val="3"/>
      </w:numPr>
    </w:pPr>
  </w:style>
  <w:style w:type="paragraph" w:customStyle="1" w:styleId="05number1">
    <w:name w:val="05 number/1"/>
    <w:basedOn w:val="Normal"/>
    <w:qFormat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qFormat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qFormat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qFormat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pPr>
      <w:spacing w:after="60" w:line="360" w:lineRule="auto"/>
    </w:pPr>
    <w:rPr>
      <w:rFonts w:ascii="Calibri" w:eastAsia="Malgun Gothic" w:hAnsi="Calibri"/>
      <w:b/>
      <w:sz w:val="28"/>
      <w:szCs w:val="24"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pPr>
      <w:spacing w:after="160" w:line="259" w:lineRule="auto"/>
    </w:pPr>
    <w:rPr>
      <w:rFonts w:ascii="Calibri" w:eastAsia="MS Mincho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1"/>
    <w:uiPriority w:val="1"/>
    <w:qFormat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qFormat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qFormat/>
    <w:pPr>
      <w:spacing w:after="160" w:line="259" w:lineRule="auto"/>
    </w:pPr>
    <w:rPr>
      <w:rFonts w:eastAsia="Malgun Gothic"/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qFormat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qFormat/>
    <w:rPr>
      <w:rFonts w:ascii="Calibri" w:eastAsia="Times New Roman" w:hAnsi="Calibri"/>
      <w:kern w:val="2"/>
      <w:szCs w:val="22"/>
      <w:lang w:eastAsia="ko-KR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qFormat/>
  </w:style>
  <w:style w:type="paragraph" w:customStyle="1" w:styleId="StyleHeading4BodyCalibri">
    <w:name w:val="Style Heading 4 + +Body (Calibri)"/>
    <w:basedOn w:val="Heading4"/>
    <w:qFormat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B2D61-7FA0-499B-8A7A-82750B420B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176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 REQUEST FOR PROPOSALS</vt:lpstr>
    </vt:vector>
  </TitlesOfParts>
  <Company>PricewaterhouseCoopers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Sally Rimon</cp:lastModifiedBy>
  <cp:revision>15</cp:revision>
  <cp:lastPrinted>2013-10-18T08:32:00Z</cp:lastPrinted>
  <dcterms:created xsi:type="dcterms:W3CDTF">2020-09-02T03:34:00Z</dcterms:created>
  <dcterms:modified xsi:type="dcterms:W3CDTF">2023-08-09T22:52:00Z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  <property fmtid="{D5CDD505-2E9C-101B-9397-08002B2CF9AE}" pid="3" name="KSOProductBuildVer">
    <vt:lpwstr>1033-11.2.0.9665</vt:lpwstr>
  </property>
</Properties>
</file>