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REQUEST FOR OFFER</w:t>
      </w:r>
    </w:p>
    <w:p>
      <w:pPr>
        <w:spacing w:before="0"/>
        <w:jc w:val="both"/>
        <w:rPr>
          <w:rFonts w:ascii="Calibri" w:hAnsi="Calibri" w:cs="Calibri"/>
        </w:rPr>
      </w:pPr>
    </w:p>
    <w:p>
      <w:pPr>
        <w:spacing w:before="0"/>
        <w:ind w:left="5761"/>
        <w:jc w:val="both"/>
        <w:rPr>
          <w:rFonts w:ascii="Calibri" w:hAnsi="Calibri" w:cs="Calibri"/>
          <w:b/>
        </w:rPr>
      </w:pPr>
      <w:bookmarkStart w:id="0" w:name="Ministry"/>
      <w:r>
        <w:rPr>
          <w:rFonts w:ascii="Calibri" w:hAnsi="Calibri" w:cs="Calibri"/>
          <w:b/>
        </w:rPr>
        <w:t>Ministry of Health &amp; Medical Services</w:t>
      </w:r>
      <w:bookmarkEnd w:id="0"/>
    </w:p>
    <w:p>
      <w:pPr>
        <w:spacing w:before="0"/>
        <w:ind w:left="5761"/>
        <w:jc w:val="both"/>
        <w:rPr>
          <w:rFonts w:ascii="Calibri" w:hAnsi="Calibri" w:cs="Calibri"/>
        </w:rPr>
      </w:pPr>
      <w:r>
        <w:rPr>
          <w:rFonts w:ascii="Calibri" w:hAnsi="Calibri" w:cs="Calibri"/>
        </w:rPr>
        <w:t>Nawerewere</w:t>
      </w:r>
    </w:p>
    <w:p>
      <w:pPr>
        <w:spacing w:before="0"/>
        <w:ind w:left="5761"/>
        <w:jc w:val="both"/>
        <w:rPr>
          <w:rFonts w:ascii="Calibri" w:hAnsi="Calibri" w:cs="Calibri"/>
        </w:rPr>
      </w:pPr>
      <w:r>
        <w:rPr>
          <w:rFonts w:ascii="Calibri" w:hAnsi="Calibri" w:cs="Calibri"/>
        </w:rPr>
        <w:t>P.O. Box 268 / Bikenibeu</w:t>
      </w:r>
    </w:p>
    <w:p>
      <w:pPr>
        <w:spacing w:before="0"/>
        <w:ind w:left="5761"/>
        <w:jc w:val="both"/>
        <w:rPr>
          <w:rFonts w:ascii="Calibri" w:hAnsi="Calibri" w:cs="Calibri"/>
        </w:rPr>
      </w:pPr>
      <w:r>
        <w:rPr>
          <w:rFonts w:ascii="Calibri" w:hAnsi="Calibri" w:cs="Calibri"/>
        </w:rPr>
        <w:t>Republic of Kiribati</w:t>
      </w:r>
    </w:p>
    <w:p>
      <w:pPr>
        <w:tabs>
          <w:tab w:val="right" w:leader="dot" w:pos="8640"/>
        </w:tabs>
        <w:spacing w:before="0"/>
        <w:rPr>
          <w:rFonts w:ascii="Calibri" w:hAnsi="Calibri" w:cs="Calibri"/>
        </w:rPr>
      </w:pPr>
    </w:p>
    <w:p>
      <w:pPr>
        <w:tabs>
          <w:tab w:val="right" w:leader="dot" w:pos="8640"/>
        </w:tabs>
        <w:spacing w:before="0"/>
        <w:rPr>
          <w:rFonts w:ascii="Calibri" w:hAnsi="Calibri" w:cs="Calibri"/>
        </w:rPr>
      </w:pPr>
      <w:r>
        <w:rPr>
          <w:rFonts w:ascii="Calibri" w:hAnsi="Calibri" w:cs="Calibri"/>
        </w:rPr>
        <w:t>To Whom It May Concern,</w:t>
      </w:r>
    </w:p>
    <w:p>
      <w:pPr>
        <w:tabs>
          <w:tab w:val="right" w:leader="dot" w:pos="8640"/>
        </w:tabs>
        <w:spacing w:before="0"/>
        <w:rPr>
          <w:rFonts w:ascii="Calibri" w:hAnsi="Calibri" w:cs="Calibri"/>
        </w:rPr>
      </w:pPr>
    </w:p>
    <w:p>
      <w:pPr>
        <w:tabs>
          <w:tab w:val="left" w:pos="720"/>
          <w:tab w:val="right" w:leader="dot" w:pos="8640"/>
        </w:tabs>
        <w:spacing w:before="0"/>
        <w:rPr>
          <w:rFonts w:ascii="Calibri" w:hAnsi="Calibri" w:cs="Calibri"/>
        </w:rPr>
      </w:pPr>
      <w:r>
        <w:rPr>
          <w:rFonts w:ascii="Calibri" w:hAnsi="Calibri" w:cs="Calibri"/>
          <w:lang w:eastAsia="ko-KR"/>
        </w:rPr>
        <w:t xml:space="preserve">The </w:t>
      </w:r>
      <w:r>
        <w:rPr>
          <w:rFonts w:ascii="Calibri" w:hAnsi="Calibri" w:cs="Calibri"/>
          <w:lang w:eastAsia="ko-KR"/>
        </w:rPr>
        <w:fldChar w:fldCharType="begin"/>
      </w:r>
      <w:r>
        <w:rPr>
          <w:rFonts w:ascii="Calibri" w:hAnsi="Calibri" w:cs="Calibri"/>
          <w:lang w:eastAsia="ko-KR"/>
        </w:rPr>
        <w:instrText xml:space="preserve"> REF Ministry \h </w:instrText>
      </w:r>
      <w:r>
        <w:rPr>
          <w:rFonts w:ascii="Calibri" w:hAnsi="Calibri" w:cs="Calibri"/>
          <w:lang w:eastAsia="ko-KR"/>
        </w:rPr>
        <w:fldChar w:fldCharType="separate"/>
      </w:r>
      <w:r>
        <w:rPr>
          <w:rFonts w:ascii="Calibri" w:hAnsi="Calibri" w:cs="Calibri"/>
          <w:b/>
        </w:rPr>
        <w:t xml:space="preserve">Ministry of Health &amp; Medical Services </w:t>
      </w:r>
      <w:r>
        <w:rPr>
          <w:rFonts w:ascii="Calibri" w:hAnsi="Calibri" w:cs="Calibri"/>
          <w:lang w:eastAsia="ko-KR"/>
        </w:rPr>
        <w:fldChar w:fldCharType="end"/>
      </w:r>
      <w:r>
        <w:rPr>
          <w:rFonts w:ascii="Calibri" w:hAnsi="Calibri" w:cs="Calibri"/>
          <w:lang w:eastAsia="ko-KR"/>
        </w:rPr>
        <w:t xml:space="preserve"> invites Offers from Suppliers to execute the works described in this Request for Offers (RFO)</w:t>
      </w:r>
      <w:r>
        <w:rPr>
          <w:rFonts w:hint="eastAsia" w:ascii="Calibri" w:hAnsi="Calibri" w:cs="Calibri"/>
          <w:lang w:eastAsia="ko-KR"/>
        </w:rPr>
        <w:t xml:space="preserve"> </w:t>
      </w:r>
      <w:r>
        <w:rPr>
          <w:rFonts w:ascii="Calibri" w:hAnsi="Calibri" w:cs="Calibri"/>
          <w:lang w:eastAsia="ko-KR"/>
        </w:rPr>
        <w:t>as below.</w:t>
      </w:r>
    </w:p>
    <w:p>
      <w:pPr>
        <w:pStyle w:val="3"/>
        <w:tabs>
          <w:tab w:val="left" w:pos="2835"/>
        </w:tabs>
        <w:rPr>
          <w:rFonts w:hint="default"/>
          <w:b w:val="0"/>
          <w:bCs/>
          <w:sz w:val="24"/>
          <w:szCs w:val="24"/>
          <w:lang w:val="en-US" w:eastAsia="ko-KR"/>
        </w:rPr>
      </w:pPr>
      <w:bookmarkStart w:id="1" w:name="_Ref374243803"/>
      <w:bookmarkStart w:id="2" w:name="_Ref384989099"/>
      <w:bookmarkStart w:id="3" w:name="_Ref371928515"/>
      <w:bookmarkStart w:id="4" w:name="_Ref385265302"/>
      <w:r>
        <w:rPr>
          <w:sz w:val="24"/>
          <w:szCs w:val="24"/>
        </w:rPr>
        <w:t>Procurement No:</w:t>
      </w:r>
      <w:r>
        <w:rPr>
          <w:sz w:val="24"/>
          <w:szCs w:val="24"/>
        </w:rPr>
        <w:tab/>
      </w:r>
      <w:bookmarkStart w:id="5" w:name="Number"/>
      <w:r>
        <w:rPr>
          <w:rStyle w:val="10"/>
          <w:b w:val="0"/>
          <w:sz w:val="24"/>
          <w:szCs w:val="24"/>
        </w:rPr>
        <w:t>RFO-</w:t>
      </w:r>
      <w:r>
        <w:rPr>
          <w:rStyle w:val="10"/>
          <w:b w:val="0"/>
          <w:sz w:val="24"/>
          <w:szCs w:val="24"/>
          <w:highlight w:val="yellow"/>
        </w:rPr>
        <w:t>MHMS</w:t>
      </w:r>
      <w:r>
        <w:rPr>
          <w:rStyle w:val="10"/>
          <w:rFonts w:hint="eastAsia"/>
          <w:b w:val="0"/>
          <w:sz w:val="24"/>
          <w:szCs w:val="24"/>
        </w:rPr>
        <w:t>-</w:t>
      </w:r>
      <w:r>
        <w:rPr>
          <w:rStyle w:val="10"/>
          <w:b w:val="0"/>
          <w:sz w:val="24"/>
          <w:szCs w:val="24"/>
        </w:rPr>
        <w:t>2021-</w:t>
      </w:r>
      <w:bookmarkEnd w:id="1"/>
      <w:bookmarkEnd w:id="2"/>
      <w:bookmarkEnd w:id="3"/>
      <w:r>
        <w:rPr>
          <w:rStyle w:val="10"/>
          <w:b w:val="0"/>
          <w:sz w:val="24"/>
          <w:szCs w:val="24"/>
          <w:highlight w:val="yellow"/>
        </w:rPr>
        <w:t>00</w:t>
      </w:r>
      <w:bookmarkEnd w:id="4"/>
      <w:bookmarkEnd w:id="5"/>
      <w:r>
        <w:rPr>
          <w:rStyle w:val="10"/>
          <w:rFonts w:hint="default"/>
          <w:b w:val="0"/>
          <w:sz w:val="24"/>
          <w:szCs w:val="24"/>
          <w:highlight w:val="yellow"/>
          <w:lang w:val="en-US"/>
        </w:rPr>
        <w:t>1</w:t>
      </w:r>
    </w:p>
    <w:p>
      <w:pPr>
        <w:pStyle w:val="18"/>
        <w:tabs>
          <w:tab w:val="left" w:pos="2835"/>
        </w:tabs>
        <w:ind w:left="2835" w:hanging="2835"/>
        <w:rPr>
          <w:rFonts w:eastAsia="Batang" w:cs="Calibri"/>
          <w:sz w:val="24"/>
          <w:lang w:eastAsia="ko-KR"/>
        </w:rPr>
      </w:pPr>
      <w:r>
        <w:rPr>
          <w:rFonts w:cs="Calibri"/>
          <w:sz w:val="24"/>
        </w:rPr>
        <w:t>Issue Date:</w:t>
      </w:r>
      <w:r>
        <w:rPr>
          <w:rFonts w:cs="Calibri"/>
          <w:sz w:val="24"/>
        </w:rPr>
        <w:tab/>
      </w:r>
      <w:r>
        <w:rPr>
          <w:rFonts w:cs="Calibri"/>
          <w:sz w:val="24"/>
          <w:highlight w:val="yellow"/>
        </w:rPr>
        <w:t>1</w:t>
      </w:r>
      <w:r>
        <w:rPr>
          <w:rFonts w:cs="Calibri"/>
          <w:sz w:val="24"/>
          <w:highlight w:val="yellow"/>
          <w:vertAlign w:val="superscript"/>
        </w:rPr>
        <w:t>st</w:t>
      </w:r>
      <w:r>
        <w:rPr>
          <w:rFonts w:cs="Calibri"/>
          <w:sz w:val="24"/>
          <w:highlight w:val="yellow"/>
        </w:rPr>
        <w:t xml:space="preserve"> April, 2021</w:t>
      </w:r>
    </w:p>
    <w:p>
      <w:pPr>
        <w:pStyle w:val="18"/>
        <w:tabs>
          <w:tab w:val="left" w:pos="2835"/>
        </w:tabs>
        <w:ind w:left="2835" w:hanging="2835"/>
        <w:rPr>
          <w:rFonts w:cs="Calibri"/>
          <w:sz w:val="24"/>
        </w:rPr>
      </w:pPr>
      <w:r>
        <w:rPr>
          <w:rFonts w:cs="Calibri"/>
          <w:sz w:val="24"/>
        </w:rPr>
        <w:t>RFO Closing Date:</w:t>
      </w:r>
      <w:r>
        <w:rPr>
          <w:rFonts w:cs="Calibri"/>
          <w:sz w:val="24"/>
        </w:rPr>
        <w:tab/>
      </w:r>
      <w:bookmarkStart w:id="91" w:name="_GoBack"/>
      <w:r>
        <w:rPr>
          <w:rFonts w:cs="Calibri"/>
          <w:sz w:val="24"/>
          <w:highlight w:val="yellow"/>
        </w:rPr>
        <w:t>1</w:t>
      </w:r>
      <w:r>
        <w:rPr>
          <w:rFonts w:hint="default" w:cs="Calibri"/>
          <w:sz w:val="24"/>
          <w:highlight w:val="yellow"/>
          <w:lang w:val="en-US"/>
        </w:rPr>
        <w:t>2</w:t>
      </w:r>
      <w:r>
        <w:rPr>
          <w:rFonts w:cs="Calibri"/>
          <w:sz w:val="24"/>
          <w:highlight w:val="yellow"/>
          <w:vertAlign w:val="superscript"/>
        </w:rPr>
        <w:t>th</w:t>
      </w:r>
      <w:r>
        <w:rPr>
          <w:rFonts w:cs="Calibri"/>
          <w:sz w:val="24"/>
          <w:highlight w:val="yellow"/>
        </w:rPr>
        <w:t xml:space="preserve"> April, 2021</w:t>
      </w:r>
      <w:r>
        <w:rPr>
          <w:rFonts w:cs="Calibri"/>
          <w:color w:val="FF0000"/>
          <w:sz w:val="24"/>
          <w:highlight w:val="yellow"/>
        </w:rPr>
        <w:t xml:space="preserve"> – 16h00 UTC+12 (Tarawa Time)</w:t>
      </w:r>
      <w:r>
        <w:rPr>
          <w:rFonts w:cs="Calibri"/>
          <w:sz w:val="24"/>
          <w:highlight w:val="yellow"/>
        </w:rPr>
        <w:t>*</w:t>
      </w:r>
      <w:bookmarkEnd w:id="91"/>
    </w:p>
    <w:p>
      <w:pPr>
        <w:pStyle w:val="18"/>
        <w:tabs>
          <w:tab w:val="left" w:pos="2835"/>
        </w:tabs>
        <w:spacing w:after="0" w:line="240" w:lineRule="auto"/>
        <w:ind w:left="2835" w:hanging="2835"/>
        <w:rPr>
          <w:rFonts w:cs="Calibri"/>
          <w:sz w:val="24"/>
          <w:lang w:eastAsia="ko-KR"/>
        </w:rPr>
      </w:pPr>
      <w:r>
        <w:rPr>
          <w:rFonts w:cs="Calibri"/>
          <w:sz w:val="24"/>
        </w:rPr>
        <w:t>Project Title:</w:t>
      </w:r>
      <w:r>
        <w:rPr>
          <w:rFonts w:cs="Calibri"/>
          <w:sz w:val="24"/>
        </w:rPr>
        <w:tab/>
      </w:r>
      <w:r>
        <w:rPr>
          <w:rFonts w:cs="Calibri"/>
          <w:sz w:val="24"/>
        </w:rPr>
        <w:t>Request for Offers (RFO) for the construction of a temporary PCR Lab Base.</w:t>
      </w:r>
    </w:p>
    <w:p>
      <w:pPr>
        <w:tabs>
          <w:tab w:val="left" w:pos="720"/>
          <w:tab w:val="right" w:leader="dot" w:pos="8640"/>
        </w:tabs>
        <w:spacing w:before="240" w:after="120"/>
        <w:rPr>
          <w:rFonts w:ascii="Calibri" w:hAnsi="Calibri" w:cs="Calibri"/>
          <w:lang w:eastAsia="ko-KR"/>
        </w:rPr>
      </w:pPr>
      <w:r>
        <w:rPr>
          <w:rFonts w:ascii="Calibri" w:hAnsi="Calibri" w:cs="Calibri"/>
        </w:rPr>
        <w:t xml:space="preserve">This RFO consists of </w:t>
      </w:r>
      <w:r>
        <w:rPr>
          <w:rFonts w:hint="eastAsia" w:ascii="Calibri" w:hAnsi="Calibri" w:cs="Calibri"/>
          <w:lang w:eastAsia="ko-KR"/>
        </w:rPr>
        <w:t xml:space="preserve">the following </w:t>
      </w:r>
      <w:r>
        <w:rPr>
          <w:rFonts w:ascii="Calibri" w:hAnsi="Calibri" w:cs="Calibri"/>
        </w:rPr>
        <w:t>descriptions</w:t>
      </w:r>
      <w:r>
        <w:rPr>
          <w:rFonts w:hint="eastAsia" w:ascii="Calibri" w:hAnsi="Calibri" w:cs="Calibri"/>
          <w:lang w:eastAsia="ko-KR"/>
        </w:rPr>
        <w:t>:</w:t>
      </w:r>
    </w:p>
    <w:p>
      <w:pPr>
        <w:pStyle w:val="17"/>
        <w:numPr>
          <w:ilvl w:val="0"/>
          <w:numId w:val="1"/>
        </w:numPr>
        <w:tabs>
          <w:tab w:val="left" w:pos="720"/>
          <w:tab w:val="right" w:leader="dot" w:pos="8640"/>
        </w:tabs>
        <w:rPr>
          <w:rFonts w:ascii="Calibri" w:hAnsi="Calibri" w:cs="Calibri"/>
        </w:rPr>
      </w:pPr>
      <w:r>
        <w:rPr>
          <w:rFonts w:ascii="Calibri" w:hAnsi="Calibri" w:cs="Calibri"/>
          <w:b/>
        </w:rPr>
        <w:t>Instructions on how to submit the quotation</w:t>
      </w:r>
    </w:p>
    <w:p>
      <w:pPr>
        <w:pStyle w:val="17"/>
        <w:numPr>
          <w:ilvl w:val="0"/>
          <w:numId w:val="1"/>
        </w:numPr>
        <w:tabs>
          <w:tab w:val="left" w:pos="720"/>
          <w:tab w:val="right" w:leader="dot" w:pos="8640"/>
        </w:tabs>
        <w:rPr>
          <w:rFonts w:ascii="Calibri" w:hAnsi="Calibri" w:cs="Calibri"/>
        </w:rPr>
      </w:pPr>
      <w:r>
        <w:rPr>
          <w:rFonts w:ascii="Calibri" w:hAnsi="Calibri" w:cs="Calibri"/>
          <w:b/>
        </w:rPr>
        <w:t>Specification of the Goods to be provided</w:t>
      </w:r>
    </w:p>
    <w:p>
      <w:pPr>
        <w:pStyle w:val="17"/>
        <w:numPr>
          <w:ilvl w:val="0"/>
          <w:numId w:val="1"/>
        </w:numPr>
        <w:tabs>
          <w:tab w:val="left" w:pos="720"/>
          <w:tab w:val="right" w:leader="dot" w:pos="8640"/>
        </w:tabs>
        <w:rPr>
          <w:rFonts w:ascii="Calibri" w:hAnsi="Calibri" w:cs="Calibri"/>
        </w:rPr>
      </w:pPr>
      <w:bookmarkStart w:id="6" w:name="_Hlk873044"/>
      <w:r>
        <w:rPr>
          <w:rFonts w:ascii="Calibri" w:hAnsi="Calibri" w:cs="Calibri"/>
          <w:b/>
        </w:rPr>
        <w:t>Evaluation Criteria and Method</w:t>
      </w:r>
    </w:p>
    <w:p>
      <w:pPr>
        <w:pStyle w:val="17"/>
        <w:numPr>
          <w:ilvl w:val="0"/>
          <w:numId w:val="1"/>
        </w:numPr>
        <w:tabs>
          <w:tab w:val="left" w:pos="720"/>
          <w:tab w:val="right" w:leader="dot" w:pos="8640"/>
        </w:tabs>
        <w:rPr>
          <w:rFonts w:ascii="Calibri" w:hAnsi="Calibri" w:cs="Calibri"/>
          <w:b/>
        </w:rPr>
      </w:pPr>
      <w:r>
        <w:rPr>
          <w:rFonts w:ascii="Calibri" w:hAnsi="Calibri" w:cs="Calibri"/>
          <w:b/>
        </w:rPr>
        <w:t>Terms and Conditions</w:t>
      </w:r>
    </w:p>
    <w:bookmarkEnd w:id="6"/>
    <w:p>
      <w:pPr>
        <w:tabs>
          <w:tab w:val="left" w:pos="720"/>
          <w:tab w:val="right" w:leader="dot" w:pos="8640"/>
        </w:tabs>
        <w:spacing w:before="240" w:after="120"/>
        <w:rPr>
          <w:rFonts w:ascii="Calibri" w:hAnsi="Calibri" w:cs="Calibri"/>
        </w:rPr>
      </w:pPr>
      <w:r>
        <w:rPr>
          <w:rFonts w:ascii="Calibri" w:hAnsi="Calibri" w:cs="Calibri"/>
        </w:rPr>
        <w:t>A Supplier will be selected based on the competitive procurement procedure described in this RFO.</w:t>
      </w:r>
    </w:p>
    <w:p>
      <w:pPr>
        <w:tabs>
          <w:tab w:val="left" w:pos="720"/>
          <w:tab w:val="left" w:pos="1440"/>
          <w:tab w:val="left" w:pos="2880"/>
          <w:tab w:val="left" w:pos="5760"/>
          <w:tab w:val="right" w:leader="dot" w:pos="8640"/>
        </w:tabs>
        <w:spacing w:before="0"/>
        <w:rPr>
          <w:rFonts w:ascii="Calibri" w:hAnsi="Calibri" w:cs="Calibri"/>
        </w:rPr>
      </w:pPr>
      <w:r>
        <w:rPr>
          <w:rFonts w:ascii="Calibri" w:hAnsi="Calibri" w:cs="Calibri"/>
        </w:rPr>
        <w:t>Sincerely,</w:t>
      </w:r>
    </w:p>
    <w:p>
      <w:pPr>
        <w:tabs>
          <w:tab w:val="left" w:pos="720"/>
          <w:tab w:val="left" w:pos="1440"/>
          <w:tab w:val="left" w:pos="2880"/>
          <w:tab w:val="left" w:pos="5760"/>
          <w:tab w:val="right" w:leader="dot" w:pos="8640"/>
        </w:tabs>
        <w:spacing w:before="480"/>
        <w:rPr>
          <w:rFonts w:ascii="Calibri" w:hAnsi="Calibri" w:cs="Calibri"/>
          <w:lang w:eastAsia="ko-KR"/>
        </w:rPr>
      </w:pPr>
      <w:r>
        <w:rPr>
          <w:rFonts w:ascii="Calibri" w:hAnsi="Calibri" w:cs="Calibri"/>
          <w:lang w:eastAsia="ko-KR"/>
        </w:rPr>
        <w:t>__________________________________</w:t>
      </w:r>
    </w:p>
    <w:p>
      <w:pPr>
        <w:tabs>
          <w:tab w:val="left" w:pos="720"/>
          <w:tab w:val="left" w:pos="1440"/>
          <w:tab w:val="left" w:pos="2880"/>
          <w:tab w:val="left" w:pos="5760"/>
          <w:tab w:val="right" w:leader="dot" w:pos="8640"/>
        </w:tabs>
        <w:spacing w:before="0"/>
        <w:rPr>
          <w:rFonts w:ascii="Calibri" w:hAnsi="Calibri" w:cs="Calibri"/>
          <w:highlight w:val="cyan"/>
          <w:lang w:eastAsia="ko-KR"/>
        </w:rPr>
      </w:pPr>
      <w:r>
        <w:rPr>
          <w:rFonts w:ascii="Calibri" w:hAnsi="Calibri" w:cs="Calibri"/>
          <w:lang w:eastAsia="ko-KR"/>
        </w:rPr>
        <w:t>Mrs. Tiinia Raj</w:t>
      </w:r>
      <w:r>
        <w:rPr>
          <w:rFonts w:ascii="Calibri" w:hAnsi="Calibri" w:cs="Calibri"/>
          <w:lang w:eastAsia="ko-KR"/>
        </w:rPr>
        <w:br w:type="textWrapping"/>
      </w:r>
      <w:r>
        <w:rPr>
          <w:rFonts w:ascii="Calibri" w:hAnsi="Calibri" w:cs="Calibri"/>
          <w:lang w:eastAsia="ko-KR"/>
        </w:rPr>
        <w:t>Officer In Charge</w:t>
      </w:r>
    </w:p>
    <w:p>
      <w:pPr>
        <w:tabs>
          <w:tab w:val="left" w:pos="720"/>
          <w:tab w:val="left" w:pos="1440"/>
          <w:tab w:val="left" w:pos="2880"/>
          <w:tab w:val="left" w:pos="5760"/>
          <w:tab w:val="right" w:leader="dot" w:pos="8640"/>
        </w:tabs>
        <w:spacing w:before="0"/>
      </w:pPr>
      <w:r>
        <w:rPr>
          <w:rFonts w:ascii="Calibri" w:hAnsi="Calibri" w:cs="Calibri"/>
          <w:lang w:eastAsia="ko-KR"/>
        </w:rPr>
        <w:br w:type="textWrapping"/>
      </w:r>
      <w:r>
        <w:rPr>
          <w:rFonts w:ascii="Calibri" w:hAnsi="Calibri" w:cs="Calibri"/>
          <w:lang w:eastAsia="ko-KR"/>
        </w:rPr>
        <w:t>Official email address: sas@mhms.gov.ki</w:t>
      </w:r>
    </w:p>
    <w:p>
      <w:pPr>
        <w:tabs>
          <w:tab w:val="left" w:pos="720"/>
          <w:tab w:val="left" w:pos="1440"/>
          <w:tab w:val="left" w:pos="2880"/>
          <w:tab w:val="left" w:pos="5760"/>
          <w:tab w:val="right" w:leader="dot" w:pos="8640"/>
        </w:tabs>
        <w:spacing w:before="360"/>
        <w:rPr>
          <w:rFonts w:ascii="Calibri" w:hAnsi="Calibri" w:cs="Calibri"/>
          <w:i/>
          <w:color w:val="FF0000"/>
          <w:lang w:eastAsia="ko-KR"/>
        </w:rPr>
      </w:pPr>
      <w:r>
        <w:rPr>
          <w:i/>
          <w:color w:val="FF0000"/>
          <w:lang w:eastAsia="ko-KR"/>
        </w:rPr>
        <w:t>*</w:t>
      </w:r>
      <w:r>
        <w:rPr>
          <w:rFonts w:ascii="Calibri" w:hAnsi="Calibri" w:cs="Calibri"/>
          <w:i/>
          <w:color w:val="FF0000"/>
          <w:lang w:eastAsia="ko-KR"/>
        </w:rPr>
        <w:t xml:space="preserve"> Please note that late submissions</w:t>
      </w:r>
      <w:r>
        <w:fldChar w:fldCharType="begin"/>
      </w:r>
      <w:r>
        <w:instrText xml:space="preserve"> HYPERLINK "mailto:gggi@leeko.com" </w:instrText>
      </w:r>
      <w:r>
        <w:fldChar w:fldCharType="separate"/>
      </w:r>
      <w:r>
        <w:fldChar w:fldCharType="end"/>
      </w:r>
      <w:r>
        <w:rPr>
          <w:rFonts w:ascii="Calibri" w:hAnsi="Calibri" w:cs="Calibri"/>
          <w:i/>
          <w:color w:val="FF0000"/>
          <w:lang w:eastAsia="ko-KR"/>
        </w:rPr>
        <w:t xml:space="preserve"> will not be considered</w:t>
      </w:r>
    </w:p>
    <w:p>
      <w:pPr>
        <w:rPr>
          <w:rFonts w:ascii="Calibri" w:hAnsi="Calibri" w:cs="Calibri"/>
          <w:i/>
          <w:color w:val="FF0000"/>
          <w:lang w:eastAsia="ko-KR"/>
        </w:rPr>
      </w:pPr>
      <w:r>
        <w:rPr>
          <w:rFonts w:ascii="Calibri" w:hAnsi="Calibri" w:cs="Calibri"/>
          <w:i/>
          <w:color w:val="FF0000"/>
          <w:lang w:eastAsia="ko-KR"/>
        </w:rPr>
        <w:br w:type="page"/>
      </w:r>
    </w:p>
    <w:p>
      <w:pPr>
        <w:pStyle w:val="4"/>
      </w:pPr>
      <w:r>
        <w:t>Specification of Works to be executed</w:t>
      </w:r>
    </w:p>
    <w:tbl>
      <w:tblPr>
        <w:tblStyle w:val="20"/>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636"/>
        <w:gridCol w:w="4604"/>
        <w:gridCol w:w="1559"/>
        <w:gridCol w:w="2694"/>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636" w:type="dxa"/>
            <w:tcBorders>
              <w:bottom w:val="single" w:color="666666" w:themeColor="text1" w:themeTint="99" w:sz="12" w:space="0"/>
              <w:insideH w:val="single" w:sz="12" w:space="0"/>
            </w:tcBorders>
          </w:tcPr>
          <w:p>
            <w:pPr>
              <w:rPr>
                <w:b/>
                <w:bCs/>
                <w:lang w:eastAsia="en-GB"/>
              </w:rPr>
            </w:pPr>
            <w:r>
              <w:rPr>
                <w:b/>
                <w:bCs/>
                <w:lang w:eastAsia="en-GB"/>
              </w:rPr>
              <w:t>Pos.</w:t>
            </w:r>
          </w:p>
        </w:tc>
        <w:tc>
          <w:tcPr>
            <w:tcW w:w="4604" w:type="dxa"/>
            <w:tcBorders>
              <w:bottom w:val="single" w:color="666666" w:themeColor="text1" w:themeTint="99" w:sz="12" w:space="0"/>
              <w:insideH w:val="single" w:sz="12" w:space="0"/>
            </w:tcBorders>
          </w:tcPr>
          <w:p>
            <w:pPr>
              <w:rPr>
                <w:b/>
                <w:bCs/>
                <w:lang w:eastAsia="en-GB"/>
              </w:rPr>
            </w:pPr>
            <w:r>
              <w:rPr>
                <w:b/>
                <w:bCs/>
                <w:lang w:eastAsia="en-GB"/>
              </w:rPr>
              <w:t>Description</w:t>
            </w:r>
          </w:p>
        </w:tc>
        <w:tc>
          <w:tcPr>
            <w:tcW w:w="1559" w:type="dxa"/>
            <w:tcBorders>
              <w:bottom w:val="single" w:color="666666" w:themeColor="text1" w:themeTint="99" w:sz="12" w:space="0"/>
              <w:insideH w:val="single" w:sz="12" w:space="0"/>
            </w:tcBorders>
          </w:tcPr>
          <w:p>
            <w:pPr>
              <w:rPr>
                <w:b/>
                <w:bCs/>
                <w:lang w:eastAsia="en-GB"/>
              </w:rPr>
            </w:pPr>
            <w:r>
              <w:rPr>
                <w:b/>
                <w:bCs/>
                <w:lang w:eastAsia="en-GB"/>
              </w:rPr>
              <w:t>Number</w:t>
            </w:r>
          </w:p>
        </w:tc>
        <w:tc>
          <w:tcPr>
            <w:tcW w:w="2694" w:type="dxa"/>
            <w:tcBorders>
              <w:bottom w:val="single" w:color="666666" w:themeColor="text1" w:themeTint="99" w:sz="12" w:space="0"/>
              <w:insideH w:val="single" w:sz="12" w:space="0"/>
            </w:tcBorders>
          </w:tcPr>
          <w:p>
            <w:pPr>
              <w:rPr>
                <w:b/>
                <w:bCs/>
                <w:lang w:eastAsia="en-GB"/>
              </w:rPr>
            </w:pPr>
            <w:r>
              <w:rPr>
                <w:b/>
                <w:bCs/>
                <w:lang w:eastAsia="en-GB"/>
              </w:rPr>
              <w:t>Offered Price (DDP)</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636" w:type="dxa"/>
          </w:tcPr>
          <w:p>
            <w:pPr>
              <w:rPr>
                <w:b/>
                <w:bCs/>
                <w:lang w:eastAsia="en-GB"/>
              </w:rPr>
            </w:pPr>
            <w:r>
              <w:rPr>
                <w:b/>
                <w:bCs/>
                <w:lang w:eastAsia="en-GB"/>
              </w:rPr>
              <w:t>1.</w:t>
            </w:r>
          </w:p>
        </w:tc>
        <w:tc>
          <w:tcPr>
            <w:tcW w:w="4604" w:type="dxa"/>
          </w:tcPr>
          <w:p>
            <w:pPr>
              <w:rPr>
                <w:lang w:eastAsia="en-GB"/>
              </w:rPr>
            </w:pPr>
            <w:r>
              <w:rPr>
                <w:lang w:eastAsia="en-GB"/>
              </w:rPr>
              <w:t>Bill of Quantity to be developed based on the attached design</w:t>
            </w:r>
          </w:p>
        </w:tc>
        <w:tc>
          <w:tcPr>
            <w:tcW w:w="1559" w:type="dxa"/>
          </w:tcPr>
          <w:p>
            <w:pPr>
              <w:rPr>
                <w:lang w:eastAsia="en-GB"/>
              </w:rPr>
            </w:pPr>
          </w:p>
        </w:tc>
        <w:tc>
          <w:tcPr>
            <w:tcW w:w="2694" w:type="dxa"/>
          </w:tcPr>
          <w:p>
            <w:pPr>
              <w:rPr>
                <w:lang w:eastAsia="en-GB"/>
              </w:rPr>
            </w:pPr>
          </w:p>
        </w:tc>
      </w:tr>
    </w:tbl>
    <w:p>
      <w:pPr>
        <w:pStyle w:val="4"/>
      </w:pPr>
      <w:r>
        <w:rPr>
          <w:b/>
        </w:rPr>
        <w:t>Evaluation Criteria and Method</w:t>
      </w:r>
    </w:p>
    <w:p>
      <w:pPr>
        <w:tabs>
          <w:tab w:val="left" w:pos="720"/>
          <w:tab w:val="right" w:leader="dot" w:pos="8640"/>
        </w:tabs>
        <w:spacing w:before="240" w:after="120"/>
        <w:rPr>
          <w:rFonts w:ascii="Calibri" w:hAnsi="Calibri" w:cs="Calibri"/>
        </w:rPr>
      </w:pPr>
      <w:r>
        <w:rPr>
          <w:rFonts w:ascii="Calibri" w:hAnsi="Calibri" w:cs="Calibri"/>
        </w:rPr>
        <w:t xml:space="preserve">A Contract will be awarded to the Offer with the lowest price, which </w:t>
      </w:r>
      <w:r>
        <w:rPr>
          <w:rFonts w:ascii="Calibri" w:hAnsi="Calibri" w:cs="Calibri"/>
          <w:lang w:val="en-US"/>
        </w:rPr>
        <w:t>fulfills</w:t>
      </w:r>
      <w:r>
        <w:rPr>
          <w:rFonts w:ascii="Calibri" w:hAnsi="Calibri" w:cs="Calibri"/>
        </w:rPr>
        <w:t xml:space="preserve"> the following mandatory requirements:</w:t>
      </w:r>
    </w:p>
    <w:p>
      <w:pPr>
        <w:pStyle w:val="19"/>
        <w:numPr>
          <w:ilvl w:val="0"/>
          <w:numId w:val="2"/>
        </w:numPr>
        <w:tabs>
          <w:tab w:val="left" w:pos="720"/>
          <w:tab w:val="right" w:leader="dot" w:pos="8640"/>
        </w:tabs>
        <w:spacing w:before="240" w:after="120"/>
        <w:ind w:leftChars="0"/>
        <w:rPr>
          <w:rFonts w:cs="Calibri"/>
        </w:rPr>
      </w:pPr>
      <w:r>
        <w:rPr>
          <w:rFonts w:cs="Calibri"/>
        </w:rPr>
        <w:t>Tax Clearance letter from Tax Office to be provided</w:t>
      </w:r>
    </w:p>
    <w:p>
      <w:pPr>
        <w:pStyle w:val="19"/>
        <w:numPr>
          <w:ilvl w:val="0"/>
          <w:numId w:val="2"/>
        </w:numPr>
        <w:tabs>
          <w:tab w:val="left" w:pos="720"/>
          <w:tab w:val="right" w:leader="dot" w:pos="8640"/>
        </w:tabs>
        <w:spacing w:before="240" w:after="120"/>
        <w:ind w:leftChars="0"/>
        <w:rPr>
          <w:rFonts w:cs="Calibri"/>
        </w:rPr>
      </w:pPr>
      <w:r>
        <w:rPr>
          <w:rFonts w:cs="Calibri"/>
        </w:rPr>
        <w:t>Business registration to be in line with the nature of business for constructions.  Seek assistance from MCIC for verification purposes.</w:t>
      </w:r>
    </w:p>
    <w:p>
      <w:pPr>
        <w:tabs>
          <w:tab w:val="left" w:pos="720"/>
          <w:tab w:val="right" w:leader="dot" w:pos="8640"/>
        </w:tabs>
        <w:spacing w:before="240" w:after="120"/>
        <w:rPr>
          <w:rFonts w:cs="Calibri"/>
        </w:rPr>
      </w:pPr>
      <w:r>
        <w:rPr>
          <w:rFonts w:cs="Calibri"/>
        </w:rPr>
        <w:t>The technical proposal will be assessed based on the following criteria with scoring allocation of 60%</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7"/>
        <w:gridCol w:w="3198"/>
        <w:gridCol w:w="3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tcPr>
          <w:p>
            <w:pPr>
              <w:tabs>
                <w:tab w:val="left" w:pos="720"/>
                <w:tab w:val="right" w:leader="dot" w:pos="8640"/>
              </w:tabs>
              <w:spacing w:before="240" w:after="120"/>
              <w:jc w:val="center"/>
              <w:rPr>
                <w:rFonts w:cs="Calibri"/>
                <w:b/>
                <w:sz w:val="18"/>
                <w:szCs w:val="18"/>
              </w:rPr>
            </w:pPr>
            <w:r>
              <w:rPr>
                <w:rFonts w:cs="Calibri"/>
                <w:b/>
                <w:sz w:val="18"/>
                <w:szCs w:val="18"/>
              </w:rPr>
              <w:t>Major Criteria</w:t>
            </w:r>
          </w:p>
        </w:tc>
        <w:tc>
          <w:tcPr>
            <w:tcW w:w="3198" w:type="dxa"/>
          </w:tcPr>
          <w:p>
            <w:pPr>
              <w:tabs>
                <w:tab w:val="left" w:pos="720"/>
                <w:tab w:val="right" w:leader="dot" w:pos="8640"/>
              </w:tabs>
              <w:spacing w:before="240" w:after="120"/>
              <w:jc w:val="center"/>
              <w:rPr>
                <w:rFonts w:cs="Calibri"/>
                <w:b/>
                <w:sz w:val="18"/>
                <w:szCs w:val="18"/>
              </w:rPr>
            </w:pPr>
            <w:r>
              <w:rPr>
                <w:rFonts w:cs="Calibri"/>
                <w:b/>
                <w:sz w:val="18"/>
                <w:szCs w:val="18"/>
              </w:rPr>
              <w:t>Details &amp; Sub-Criteria</w:t>
            </w:r>
          </w:p>
        </w:tc>
        <w:tc>
          <w:tcPr>
            <w:tcW w:w="3198" w:type="dxa"/>
          </w:tcPr>
          <w:p>
            <w:pPr>
              <w:tabs>
                <w:tab w:val="left" w:pos="720"/>
                <w:tab w:val="right" w:leader="dot" w:pos="8640"/>
              </w:tabs>
              <w:spacing w:before="240" w:after="120"/>
              <w:jc w:val="center"/>
              <w:rPr>
                <w:rFonts w:cs="Calibri"/>
                <w:b/>
                <w:sz w:val="18"/>
                <w:szCs w:val="18"/>
              </w:rPr>
            </w:pPr>
            <w:r>
              <w:rPr>
                <w:rFonts w:cs="Calibri"/>
                <w:b/>
                <w:sz w:val="18"/>
                <w:szCs w:val="18"/>
              </w:rPr>
              <w:t>Possible Score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tcPr>
          <w:p>
            <w:pPr>
              <w:tabs>
                <w:tab w:val="left" w:pos="720"/>
                <w:tab w:val="right" w:leader="dot" w:pos="8640"/>
              </w:tabs>
              <w:spacing w:before="240" w:after="120"/>
              <w:rPr>
                <w:rFonts w:cs="Calibri"/>
                <w:sz w:val="18"/>
                <w:szCs w:val="18"/>
              </w:rPr>
            </w:pPr>
            <w:r>
              <w:rPr>
                <w:rFonts w:asciiTheme="minorHAnsi" w:hAnsiTheme="minorHAnsi" w:cstheme="minorHAnsi"/>
                <w:sz w:val="16"/>
                <w:szCs w:val="16"/>
              </w:rPr>
              <w:t>Firm/consortium’s experience and reputation with similar supply of Works</w:t>
            </w:r>
          </w:p>
        </w:tc>
        <w:tc>
          <w:tcPr>
            <w:tcW w:w="3198" w:type="dxa"/>
          </w:tcPr>
          <w:p>
            <w:pPr>
              <w:pStyle w:val="22"/>
              <w:numPr>
                <w:ilvl w:val="0"/>
                <w:numId w:val="3"/>
              </w:numPr>
              <w:rPr>
                <w:rFonts w:asciiTheme="minorHAnsi" w:hAnsiTheme="minorHAnsi" w:cstheme="minorHAnsi"/>
                <w:sz w:val="16"/>
                <w:szCs w:val="16"/>
              </w:rPr>
            </w:pPr>
            <w:r>
              <w:rPr>
                <w:rFonts w:asciiTheme="minorHAnsi" w:hAnsiTheme="minorHAnsi" w:cstheme="minorHAnsi"/>
                <w:sz w:val="16"/>
                <w:szCs w:val="16"/>
              </w:rPr>
              <w:t>At least 1 reference is provided showing similar supply of Works</w:t>
            </w:r>
          </w:p>
          <w:p>
            <w:pPr>
              <w:pStyle w:val="22"/>
              <w:numPr>
                <w:ilvl w:val="0"/>
                <w:numId w:val="3"/>
              </w:numPr>
              <w:rPr>
                <w:rFonts w:cs="Calibri"/>
                <w:sz w:val="18"/>
                <w:szCs w:val="18"/>
              </w:rPr>
            </w:pPr>
            <w:r>
              <w:rPr>
                <w:rFonts w:asciiTheme="minorHAnsi" w:hAnsiTheme="minorHAnsi" w:cstheme="minorHAnsi"/>
                <w:sz w:val="16"/>
                <w:szCs w:val="16"/>
              </w:rPr>
              <w:t xml:space="preserve">Clear CV of labourers </w:t>
            </w:r>
          </w:p>
        </w:tc>
        <w:tc>
          <w:tcPr>
            <w:tcW w:w="3198" w:type="dxa"/>
          </w:tcPr>
          <w:p>
            <w:pPr>
              <w:tabs>
                <w:tab w:val="left" w:pos="720"/>
                <w:tab w:val="right" w:leader="dot" w:pos="8640"/>
              </w:tabs>
              <w:spacing w:before="240" w:after="120"/>
              <w:jc w:val="center"/>
              <w:rPr>
                <w:rFonts w:cs="Calibri"/>
                <w:b/>
                <w:sz w:val="18"/>
                <w:szCs w:val="18"/>
              </w:rPr>
            </w:pPr>
            <w:r>
              <w:rPr>
                <w:rFonts w:cs="Calibri"/>
                <w:b/>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tcPr>
          <w:p>
            <w:pPr>
              <w:tabs>
                <w:tab w:val="left" w:pos="720"/>
                <w:tab w:val="right" w:leader="dot" w:pos="8640"/>
              </w:tabs>
              <w:spacing w:before="240" w:after="120"/>
              <w:rPr>
                <w:rFonts w:cs="Calibri"/>
                <w:sz w:val="18"/>
                <w:szCs w:val="18"/>
              </w:rPr>
            </w:pPr>
            <w:r>
              <w:rPr>
                <w:rFonts w:asciiTheme="minorHAnsi" w:hAnsiTheme="minorHAnsi" w:cstheme="minorHAnsi"/>
                <w:sz w:val="16"/>
                <w:szCs w:val="16"/>
              </w:rPr>
              <w:t>Delivery time</w:t>
            </w:r>
          </w:p>
        </w:tc>
        <w:tc>
          <w:tcPr>
            <w:tcW w:w="3198" w:type="dxa"/>
          </w:tcPr>
          <w:p>
            <w:pPr>
              <w:pStyle w:val="19"/>
              <w:numPr>
                <w:ilvl w:val="0"/>
                <w:numId w:val="4"/>
              </w:numPr>
              <w:tabs>
                <w:tab w:val="left" w:pos="720"/>
                <w:tab w:val="right" w:leader="dot" w:pos="8640"/>
              </w:tabs>
              <w:spacing w:before="240" w:after="120"/>
              <w:ind w:leftChars="0"/>
              <w:rPr>
                <w:rFonts w:cs="Calibri"/>
                <w:sz w:val="13"/>
                <w:szCs w:val="16"/>
              </w:rPr>
            </w:pPr>
            <w:r>
              <w:rPr>
                <w:rFonts w:asciiTheme="minorHAnsi" w:hAnsiTheme="minorHAnsi" w:cstheme="minorHAnsi"/>
                <w:sz w:val="16"/>
                <w:szCs w:val="16"/>
              </w:rPr>
              <w:t>A clear scope of work and shortest delivery time recommended</w:t>
            </w:r>
          </w:p>
        </w:tc>
        <w:tc>
          <w:tcPr>
            <w:tcW w:w="3198" w:type="dxa"/>
          </w:tcPr>
          <w:p>
            <w:pPr>
              <w:tabs>
                <w:tab w:val="left" w:pos="720"/>
                <w:tab w:val="right" w:leader="dot" w:pos="8640"/>
              </w:tabs>
              <w:spacing w:before="240" w:after="120"/>
              <w:jc w:val="center"/>
              <w:rPr>
                <w:rFonts w:cs="Calibri"/>
                <w:b/>
                <w:sz w:val="18"/>
                <w:szCs w:val="18"/>
              </w:rPr>
            </w:pPr>
            <w:r>
              <w:rPr>
                <w:rFonts w:cs="Calibri"/>
                <w:b/>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tcPr>
          <w:p>
            <w:pPr>
              <w:tabs>
                <w:tab w:val="left" w:pos="720"/>
                <w:tab w:val="right" w:leader="dot" w:pos="8640"/>
              </w:tabs>
              <w:spacing w:before="240" w:after="120"/>
              <w:rPr>
                <w:rFonts w:cs="Calibri"/>
                <w:sz w:val="18"/>
                <w:szCs w:val="18"/>
              </w:rPr>
            </w:pPr>
            <w:r>
              <w:rPr>
                <w:rFonts w:asciiTheme="minorHAnsi" w:hAnsiTheme="minorHAnsi" w:cstheme="minorHAnsi"/>
                <w:sz w:val="16"/>
                <w:szCs w:val="16"/>
              </w:rPr>
              <w:t>Specification</w:t>
            </w:r>
          </w:p>
        </w:tc>
        <w:tc>
          <w:tcPr>
            <w:tcW w:w="3198" w:type="dxa"/>
          </w:tcPr>
          <w:p>
            <w:pPr>
              <w:pStyle w:val="19"/>
              <w:numPr>
                <w:ilvl w:val="0"/>
                <w:numId w:val="4"/>
              </w:numPr>
              <w:tabs>
                <w:tab w:val="left" w:pos="720"/>
                <w:tab w:val="right" w:leader="dot" w:pos="8640"/>
              </w:tabs>
              <w:spacing w:before="240" w:after="120"/>
              <w:ind w:leftChars="0"/>
              <w:rPr>
                <w:rFonts w:cs="Calibri"/>
                <w:sz w:val="13"/>
                <w:szCs w:val="16"/>
              </w:rPr>
            </w:pPr>
            <w:r>
              <w:rPr>
                <w:rFonts w:asciiTheme="minorHAnsi" w:hAnsiTheme="minorHAnsi" w:cstheme="minorHAnsi"/>
                <w:sz w:val="16"/>
                <w:szCs w:val="16"/>
              </w:rPr>
              <w:t>Must comply with the listed specification</w:t>
            </w:r>
          </w:p>
        </w:tc>
        <w:tc>
          <w:tcPr>
            <w:tcW w:w="3198" w:type="dxa"/>
          </w:tcPr>
          <w:p>
            <w:pPr>
              <w:tabs>
                <w:tab w:val="left" w:pos="720"/>
                <w:tab w:val="right" w:leader="dot" w:pos="8640"/>
              </w:tabs>
              <w:spacing w:before="240" w:after="120"/>
              <w:jc w:val="center"/>
              <w:rPr>
                <w:rFonts w:cs="Calibri"/>
                <w:b/>
                <w:sz w:val="18"/>
                <w:szCs w:val="18"/>
              </w:rPr>
            </w:pPr>
            <w:r>
              <w:rPr>
                <w:rFonts w:cs="Calibri"/>
                <w:b/>
                <w:sz w:val="18"/>
                <w:szCs w:val="1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7" w:type="dxa"/>
          </w:tcPr>
          <w:p>
            <w:pPr>
              <w:tabs>
                <w:tab w:val="left" w:pos="720"/>
                <w:tab w:val="right" w:leader="dot" w:pos="8640"/>
              </w:tabs>
              <w:spacing w:before="240" w:after="120"/>
              <w:rPr>
                <w:rFonts w:cs="Calibri"/>
                <w:sz w:val="18"/>
                <w:szCs w:val="18"/>
              </w:rPr>
            </w:pPr>
            <w:r>
              <w:rPr>
                <w:rFonts w:cs="Calibri"/>
                <w:sz w:val="18"/>
                <w:szCs w:val="18"/>
              </w:rPr>
              <w:t>Total Possible Technical Score</w:t>
            </w:r>
          </w:p>
        </w:tc>
        <w:tc>
          <w:tcPr>
            <w:tcW w:w="3198" w:type="dxa"/>
          </w:tcPr>
          <w:p>
            <w:pPr>
              <w:tabs>
                <w:tab w:val="left" w:pos="720"/>
                <w:tab w:val="right" w:leader="dot" w:pos="8640"/>
              </w:tabs>
              <w:spacing w:before="240" w:after="120"/>
              <w:rPr>
                <w:rFonts w:cs="Calibri"/>
                <w:sz w:val="18"/>
                <w:szCs w:val="18"/>
              </w:rPr>
            </w:pPr>
          </w:p>
        </w:tc>
        <w:tc>
          <w:tcPr>
            <w:tcW w:w="3198" w:type="dxa"/>
          </w:tcPr>
          <w:p>
            <w:pPr>
              <w:tabs>
                <w:tab w:val="left" w:pos="720"/>
                <w:tab w:val="right" w:leader="dot" w:pos="8640"/>
              </w:tabs>
              <w:spacing w:before="240" w:after="120"/>
              <w:jc w:val="center"/>
              <w:rPr>
                <w:rFonts w:cs="Calibri"/>
                <w:b/>
                <w:sz w:val="18"/>
                <w:szCs w:val="18"/>
              </w:rPr>
            </w:pPr>
            <w:r>
              <w:rPr>
                <w:rFonts w:cs="Calibri"/>
                <w:b/>
                <w:sz w:val="18"/>
                <w:szCs w:val="18"/>
              </w:rPr>
              <w:t>100</w:t>
            </w:r>
          </w:p>
        </w:tc>
      </w:tr>
    </w:tbl>
    <w:p>
      <w:pPr>
        <w:tabs>
          <w:tab w:val="left" w:pos="720"/>
          <w:tab w:val="right" w:leader="dot" w:pos="8640"/>
        </w:tabs>
        <w:spacing w:before="240" w:after="120"/>
        <w:rPr>
          <w:rFonts w:cs="Calibri"/>
        </w:rPr>
      </w:pPr>
      <w:r>
        <w:rPr>
          <w:rFonts w:cs="Calibri"/>
        </w:rPr>
        <w:t>The remaining score of 40% for the financial proposal will be based on the cheapest offer or price inclusive of all related costs such as VAT, etc.</w:t>
      </w:r>
    </w:p>
    <w:p>
      <w:pPr>
        <w:pStyle w:val="4"/>
      </w:pPr>
      <w:r>
        <w:rPr>
          <w:b/>
        </w:rPr>
        <w:t>Instructions on how to submit the quotation</w:t>
      </w:r>
    </w:p>
    <w:p>
      <w:pPr>
        <w:tabs>
          <w:tab w:val="left" w:pos="720"/>
          <w:tab w:val="right" w:leader="dot" w:pos="8640"/>
        </w:tabs>
        <w:spacing w:before="0"/>
        <w:rPr>
          <w:rFonts w:ascii="Calibri" w:hAnsi="Calibri" w:cs="Calibri"/>
          <w:b/>
        </w:rPr>
      </w:pPr>
      <w:r>
        <w:rPr>
          <w:rFonts w:ascii="Calibri" w:hAnsi="Calibri" w:cs="Calibri"/>
        </w:rPr>
        <w:t>The Offer must be submitted in electronic version via email to the official email address</w:t>
      </w:r>
      <w:r>
        <w:rPr>
          <w:rFonts w:hint="default" w:ascii="Calibri" w:hAnsi="Calibri" w:cs="Calibri"/>
          <w:lang w:val="en-US"/>
        </w:rPr>
        <w:t xml:space="preserve"> </w:t>
      </w:r>
      <w:r>
        <w:rPr>
          <w:rFonts w:hint="default" w:ascii="Calibri" w:hAnsi="Calibri" w:cs="Calibri"/>
          <w:lang w:val="en-US"/>
        </w:rPr>
        <w:fldChar w:fldCharType="begin"/>
      </w:r>
      <w:r>
        <w:rPr>
          <w:rFonts w:hint="default" w:ascii="Calibri" w:hAnsi="Calibri" w:cs="Calibri"/>
          <w:lang w:val="en-US"/>
        </w:rPr>
        <w:instrText xml:space="preserve"> HYPERLINK "mailto:(sas@mhms.gov.ki)" </w:instrText>
      </w:r>
      <w:r>
        <w:rPr>
          <w:rFonts w:hint="default" w:ascii="Calibri" w:hAnsi="Calibri" w:cs="Calibri"/>
          <w:lang w:val="en-US"/>
        </w:rPr>
        <w:fldChar w:fldCharType="separate"/>
      </w:r>
      <w:r>
        <w:rPr>
          <w:rStyle w:val="9"/>
          <w:rFonts w:hint="default" w:ascii="Calibri" w:hAnsi="Calibri" w:cs="Calibri"/>
          <w:lang w:val="en-US"/>
        </w:rPr>
        <w:t>(</w:t>
      </w:r>
      <w:r>
        <w:rPr>
          <w:rStyle w:val="9"/>
          <w:rFonts w:ascii="Calibri" w:hAnsi="Calibri" w:cs="Calibri"/>
          <w:lang w:eastAsia="ko-KR"/>
        </w:rPr>
        <w:t>sas@mhms.gov.ki</w:t>
      </w:r>
      <w:r>
        <w:rPr>
          <w:rStyle w:val="9"/>
          <w:rFonts w:hint="default" w:ascii="Calibri" w:hAnsi="Calibri" w:cs="Calibri"/>
          <w:lang w:val="en-US" w:eastAsia="ko-KR"/>
        </w:rPr>
        <w:t>)</w:t>
      </w:r>
      <w:r>
        <w:rPr>
          <w:rFonts w:hint="default" w:ascii="Calibri" w:hAnsi="Calibri" w:cs="Calibri"/>
          <w:lang w:val="en-US"/>
        </w:rPr>
        <w:fldChar w:fldCharType="end"/>
      </w:r>
      <w:r>
        <w:rPr>
          <w:rFonts w:hint="default" w:ascii="Calibri" w:hAnsi="Calibri" w:cs="Calibri"/>
          <w:lang w:val="en-US"/>
        </w:rPr>
        <w:t>,</w:t>
      </w:r>
      <w:r>
        <w:rPr>
          <w:rFonts w:ascii="Calibri" w:hAnsi="Calibri" w:cs="Calibri"/>
        </w:rPr>
        <w:t xml:space="preserve"> no later than as stated on the first page, with the following noted in the subject line: </w:t>
      </w:r>
      <w:r>
        <w:rPr>
          <w:rFonts w:ascii="Calibri" w:hAnsi="Calibri" w:cs="Calibri"/>
          <w:b/>
        </w:rPr>
        <w:t>Tenderers name – RFO Number – Offer</w:t>
      </w:r>
    </w:p>
    <w:p>
      <w:pPr>
        <w:tabs>
          <w:tab w:val="left" w:pos="720"/>
          <w:tab w:val="right" w:leader="dot" w:pos="8640"/>
        </w:tabs>
        <w:spacing w:before="0"/>
        <w:rPr>
          <w:rFonts w:hint="default" w:ascii="Calibri" w:hAnsi="Calibri" w:cs="Calibri"/>
          <w:b w:val="0"/>
          <w:bCs/>
          <w:lang w:val="en-US"/>
        </w:rPr>
      </w:pPr>
    </w:p>
    <w:p>
      <w:pPr>
        <w:tabs>
          <w:tab w:val="left" w:pos="720"/>
          <w:tab w:val="right" w:leader="dot" w:pos="8640"/>
        </w:tabs>
        <w:spacing w:before="0"/>
        <w:rPr>
          <w:rFonts w:hint="default" w:ascii="Calibri" w:hAnsi="Calibri" w:cs="Calibri"/>
          <w:b w:val="0"/>
          <w:bCs/>
          <w:highlight w:val="yellow"/>
          <w:lang w:val="en-US"/>
        </w:rPr>
      </w:pPr>
      <w:r>
        <w:rPr>
          <w:rFonts w:hint="default" w:ascii="Calibri" w:hAnsi="Calibri" w:cs="Calibri"/>
          <w:b w:val="0"/>
          <w:bCs/>
          <w:highlight w:val="yellow"/>
          <w:lang w:val="en-US"/>
        </w:rPr>
        <w:t>Hard copies are to be submitted at MHMS registry with name of the address below:</w:t>
      </w:r>
    </w:p>
    <w:p>
      <w:pPr>
        <w:tabs>
          <w:tab w:val="left" w:pos="720"/>
          <w:tab w:val="right" w:leader="dot" w:pos="8640"/>
        </w:tabs>
        <w:spacing w:before="0"/>
        <w:rPr>
          <w:rFonts w:hint="default" w:ascii="Calibri" w:hAnsi="Calibri" w:cs="Calibri"/>
          <w:b w:val="0"/>
          <w:bCs/>
          <w:highlight w:val="yellow"/>
          <w:lang w:val="en-US"/>
        </w:rPr>
      </w:pPr>
    </w:p>
    <w:p>
      <w:pPr>
        <w:tabs>
          <w:tab w:val="left" w:pos="720"/>
          <w:tab w:val="right" w:leader="dot" w:pos="8640"/>
        </w:tabs>
        <w:spacing w:before="0"/>
        <w:rPr>
          <w:rFonts w:hint="default" w:ascii="Calibri" w:hAnsi="Calibri" w:cs="Calibri"/>
          <w:b/>
          <w:bCs w:val="0"/>
          <w:highlight w:val="yellow"/>
          <w:lang w:val="en-US"/>
        </w:rPr>
      </w:pPr>
      <w:r>
        <w:rPr>
          <w:rFonts w:hint="default" w:ascii="Calibri" w:hAnsi="Calibri" w:cs="Calibri"/>
          <w:b/>
          <w:bCs w:val="0"/>
          <w:highlight w:val="yellow"/>
          <w:lang w:val="en-US"/>
        </w:rPr>
        <w:t>Secretary,</w:t>
      </w:r>
    </w:p>
    <w:p>
      <w:pPr>
        <w:tabs>
          <w:tab w:val="left" w:pos="720"/>
          <w:tab w:val="right" w:leader="dot" w:pos="8640"/>
        </w:tabs>
        <w:spacing w:before="0"/>
        <w:rPr>
          <w:rFonts w:hint="default" w:ascii="Calibri" w:hAnsi="Calibri" w:cs="Calibri"/>
          <w:b/>
          <w:bCs w:val="0"/>
          <w:highlight w:val="yellow"/>
          <w:lang w:val="en-US"/>
        </w:rPr>
      </w:pPr>
      <w:r>
        <w:rPr>
          <w:rFonts w:hint="default" w:ascii="Calibri" w:hAnsi="Calibri" w:cs="Calibri"/>
          <w:b/>
          <w:bCs w:val="0"/>
          <w:highlight w:val="yellow"/>
          <w:lang w:val="en-US"/>
        </w:rPr>
        <w:t>MHMS</w:t>
      </w:r>
    </w:p>
    <w:p>
      <w:pPr>
        <w:tabs>
          <w:tab w:val="left" w:pos="720"/>
          <w:tab w:val="right" w:leader="dot" w:pos="8640"/>
        </w:tabs>
        <w:spacing w:before="0"/>
        <w:rPr>
          <w:rFonts w:hint="default" w:ascii="Calibri" w:hAnsi="Calibri" w:cs="Calibri"/>
          <w:b/>
          <w:bCs w:val="0"/>
          <w:sz w:val="21"/>
          <w:szCs w:val="21"/>
          <w:highlight w:val="yellow"/>
          <w:lang w:val="en-US"/>
        </w:rPr>
      </w:pPr>
      <w:r>
        <w:rPr>
          <w:rFonts w:hint="default" w:ascii="Calibri" w:hAnsi="Calibri" w:cs="Calibri"/>
          <w:b/>
          <w:bCs w:val="0"/>
          <w:highlight w:val="yellow"/>
          <w:lang w:val="en-US"/>
        </w:rPr>
        <w:t xml:space="preserve">Tender No.: </w:t>
      </w:r>
      <w:r>
        <w:rPr>
          <w:rStyle w:val="10"/>
          <w:b/>
          <w:bCs w:val="0"/>
          <w:sz w:val="21"/>
          <w:szCs w:val="21"/>
          <w:highlight w:val="yellow"/>
        </w:rPr>
        <w:t>RFO-MHMS</w:t>
      </w:r>
      <w:r>
        <w:rPr>
          <w:rStyle w:val="10"/>
          <w:rFonts w:hint="eastAsia"/>
          <w:b/>
          <w:bCs w:val="0"/>
          <w:sz w:val="21"/>
          <w:szCs w:val="21"/>
          <w:highlight w:val="yellow"/>
        </w:rPr>
        <w:t>-</w:t>
      </w:r>
      <w:r>
        <w:rPr>
          <w:rStyle w:val="10"/>
          <w:b/>
          <w:bCs w:val="0"/>
          <w:sz w:val="21"/>
          <w:szCs w:val="21"/>
          <w:highlight w:val="yellow"/>
        </w:rPr>
        <w:t>2021-00</w:t>
      </w:r>
      <w:r>
        <w:rPr>
          <w:rStyle w:val="10"/>
          <w:rFonts w:hint="default"/>
          <w:b/>
          <w:bCs w:val="0"/>
          <w:sz w:val="21"/>
          <w:szCs w:val="21"/>
          <w:highlight w:val="yellow"/>
          <w:lang w:val="en-US"/>
        </w:rPr>
        <w:t>1</w:t>
      </w:r>
    </w:p>
    <w:p/>
    <w:p>
      <w:r>
        <w:br w:type="page"/>
      </w:r>
    </w:p>
    <w:p>
      <w:pPr>
        <w:spacing w:before="2000" w:after="600"/>
        <w:jc w:val="center"/>
        <w:rPr>
          <w:rFonts w:eastAsiaTheme="minorEastAsia" w:cstheme="minorBidi"/>
          <w:b/>
          <w:bCs/>
          <w:sz w:val="32"/>
          <w:szCs w:val="32"/>
          <w:lang w:val="en-GB"/>
        </w:rPr>
      </w:pPr>
      <w:bookmarkStart w:id="7" w:name="_Toc18147710"/>
      <w:bookmarkStart w:id="8" w:name="_Toc11850090"/>
      <w:r>
        <w:rPr>
          <w:rFonts w:eastAsiaTheme="minorEastAsia" w:cstheme="minorBidi"/>
          <w:b/>
          <w:bCs/>
          <w:sz w:val="32"/>
          <w:szCs w:val="32"/>
          <w:lang w:val="en-GB"/>
        </w:rPr>
        <w:t xml:space="preserve">CONTRACT FOR THE </w:t>
      </w:r>
      <w:bookmarkStart w:id="9" w:name="_Hlk18597575"/>
      <w:r>
        <w:rPr>
          <w:rFonts w:eastAsiaTheme="minorEastAsia" w:cstheme="minorBidi"/>
          <w:b/>
          <w:bCs/>
          <w:sz w:val="32"/>
          <w:szCs w:val="32"/>
          <w:lang w:val="en-GB"/>
        </w:rPr>
        <w:t>EXECUTION OF WORKS</w:t>
      </w:r>
    </w:p>
    <w:bookmarkEnd w:id="7"/>
    <w:bookmarkEnd w:id="8"/>
    <w:bookmarkEnd w:id="9"/>
    <w:p>
      <w:pPr>
        <w:rPr>
          <w:szCs w:val="20"/>
          <w:lang w:val="en-GB"/>
        </w:rPr>
      </w:pPr>
      <w:r>
        <w:rPr>
          <w:szCs w:val="20"/>
          <w:lang w:val="en-GB"/>
        </w:rPr>
        <w:t>This contract for the Execution of Works (“Contract”) is entered between:</w:t>
      </w:r>
    </w:p>
    <w:p>
      <w:pPr>
        <w:rPr>
          <w:szCs w:val="20"/>
          <w:lang w:val="en-GB"/>
        </w:rPr>
      </w:pPr>
      <w:r>
        <w:rPr>
          <w:szCs w:val="20"/>
          <w:lang w:val="en-GB"/>
        </w:rPr>
        <w:t>The [</w:t>
      </w:r>
      <w:r>
        <w:rPr>
          <w:szCs w:val="20"/>
          <w:highlight w:val="yellow"/>
          <w:lang w:val="en-GB"/>
        </w:rPr>
        <w:t>Ministry of X / SOE</w:t>
      </w:r>
      <w:r>
        <w:rPr>
          <w:szCs w:val="20"/>
          <w:lang w:val="en-GB"/>
        </w:rPr>
        <w:t xml:space="preserve">] of the Republic of Kiribati, with its office at the address stated in section SCC </w:t>
      </w:r>
      <w:r>
        <w:fldChar w:fldCharType="begin"/>
      </w:r>
      <w:r>
        <w:rPr>
          <w:szCs w:val="20"/>
          <w:lang w:val="en-GB"/>
        </w:rPr>
        <w:instrText xml:space="preserve"> REF _Ref11845945 \r \h </w:instrText>
      </w:r>
      <w:r>
        <w:fldChar w:fldCharType="separate"/>
      </w:r>
      <w:r>
        <w:rPr>
          <w:szCs w:val="20"/>
          <w:lang w:val="en-GB"/>
        </w:rPr>
        <w:t>4</w:t>
      </w:r>
      <w:r>
        <w:fldChar w:fldCharType="end"/>
      </w:r>
      <w:r>
        <w:rPr>
          <w:szCs w:val="20"/>
          <w:lang w:val="en-GB"/>
        </w:rPr>
        <w:t xml:space="preserve"> (hereinafter referred to as the “Procuring Entity”)</w:t>
      </w:r>
    </w:p>
    <w:p>
      <w:pPr>
        <w:jc w:val="center"/>
        <w:rPr>
          <w:szCs w:val="20"/>
          <w:lang w:val="en-GB"/>
        </w:rPr>
      </w:pPr>
      <w:r>
        <w:rPr>
          <w:szCs w:val="20"/>
          <w:lang w:val="en-GB"/>
        </w:rPr>
        <w:t>and</w:t>
      </w:r>
    </w:p>
    <w:p>
      <w:pPr>
        <w:rPr>
          <w:szCs w:val="20"/>
          <w:lang w:val="en-GB"/>
        </w:rPr>
      </w:pPr>
      <w:r>
        <w:rPr>
          <w:szCs w:val="20"/>
          <w:highlight w:val="yellow"/>
          <w:lang w:val="en-GB"/>
        </w:rPr>
        <w:t>[name of the Contractor]</w:t>
      </w:r>
      <w:r>
        <w:rPr>
          <w:szCs w:val="20"/>
          <w:lang w:val="en-GB"/>
        </w:rPr>
        <w:t xml:space="preserve"> with address as stated in section SCC </w:t>
      </w:r>
      <w:r>
        <w:fldChar w:fldCharType="begin"/>
      </w:r>
      <w:r>
        <w:rPr>
          <w:szCs w:val="20"/>
          <w:lang w:val="en-GB"/>
        </w:rPr>
        <w:instrText xml:space="preserve"> REF _Ref11845945 \r \h </w:instrText>
      </w:r>
      <w:r>
        <w:fldChar w:fldCharType="separate"/>
      </w:r>
      <w:r>
        <w:rPr>
          <w:szCs w:val="20"/>
          <w:lang w:val="en-GB"/>
        </w:rPr>
        <w:t>4</w:t>
      </w:r>
      <w:r>
        <w:fldChar w:fldCharType="end"/>
      </w:r>
      <w:r>
        <w:rPr>
          <w:szCs w:val="20"/>
          <w:lang w:val="en-GB"/>
        </w:rPr>
        <w:t xml:space="preserve"> (hereinafter referred to as the “Contractor”), </w:t>
      </w:r>
    </w:p>
    <w:p>
      <w:pPr>
        <w:rPr>
          <w:szCs w:val="20"/>
          <w:lang w:val="en-GB"/>
        </w:rPr>
      </w:pPr>
      <w:r>
        <w:rPr>
          <w:szCs w:val="20"/>
          <w:lang w:val="en-GB"/>
        </w:rPr>
        <w:t>together referred as the “Parties”.</w:t>
      </w:r>
    </w:p>
    <w:p>
      <w:pPr>
        <w:rPr>
          <w:szCs w:val="20"/>
          <w:lang w:val="en-GB"/>
        </w:rPr>
      </w:pPr>
      <w:r>
        <w:rPr>
          <w:szCs w:val="20"/>
          <w:lang w:val="en-GB"/>
        </w:rPr>
        <w:t>WHEREAS the Procuring Entity wishes to receive from the Contractor, and the Contractor is willing to provide to the Procuring Entity, the execution of works as more fully defined hereinafter;</w:t>
      </w:r>
    </w:p>
    <w:p>
      <w:pPr>
        <w:rPr>
          <w:szCs w:val="20"/>
          <w:lang w:val="en-GB"/>
        </w:rPr>
      </w:pPr>
      <w:r>
        <w:rPr>
          <w:szCs w:val="20"/>
          <w:lang w:val="en-GB"/>
        </w:rPr>
        <w:t>WHEREAS the Contractor is ready and willing to accept the Contract with the Procuring Entity on the said terms and conditions</w:t>
      </w:r>
      <w:r>
        <w:rPr>
          <w:szCs w:val="20"/>
          <w:lang w:val="en-GB" w:eastAsia="ko-KR"/>
        </w:rPr>
        <w:t>;</w:t>
      </w:r>
    </w:p>
    <w:p>
      <w:pPr>
        <w:rPr>
          <w:szCs w:val="20"/>
          <w:lang w:val="en-GB"/>
        </w:rPr>
      </w:pPr>
      <w:r>
        <w:rPr>
          <w:szCs w:val="20"/>
          <w:lang w:val="en-GB"/>
        </w:rPr>
        <w:t>The Parties agree on what follows:</w:t>
      </w:r>
    </w:p>
    <w:p>
      <w:pPr>
        <w:keepNext/>
        <w:keepLines/>
        <w:numPr>
          <w:ilvl w:val="0"/>
          <w:numId w:val="5"/>
        </w:numPr>
        <w:spacing w:before="240" w:after="120"/>
        <w:jc w:val="both"/>
        <w:outlineLvl w:val="2"/>
        <w:rPr>
          <w:rFonts w:ascii="Calibri" w:hAnsi="Calibri"/>
          <w:smallCaps/>
          <w:lang w:val="en-GB"/>
        </w:rPr>
      </w:pPr>
      <w:bookmarkStart w:id="10" w:name="_Toc18147711"/>
      <w:bookmarkStart w:id="11" w:name="_Toc11850091"/>
      <w:bookmarkStart w:id="12" w:name="_Toc18597751"/>
      <w:r>
        <w:rPr>
          <w:rFonts w:ascii="Calibri" w:hAnsi="Calibri"/>
          <w:smallCaps/>
        </w:rPr>
        <w:t>General</w:t>
      </w:r>
      <w:r>
        <w:rPr>
          <w:rFonts w:ascii="Calibri" w:hAnsi="Calibri"/>
          <w:smallCaps/>
          <w:lang w:val="en-GB"/>
        </w:rPr>
        <w:t xml:space="preserve"> provisions</w:t>
      </w:r>
      <w:bookmarkEnd w:id="10"/>
      <w:bookmarkEnd w:id="11"/>
      <w:bookmarkEnd w:id="12"/>
    </w:p>
    <w:p>
      <w:pPr>
        <w:ind w:left="-6"/>
        <w:rPr>
          <w:lang w:val="en-GB"/>
        </w:rPr>
      </w:pPr>
      <w:r>
        <w:rPr>
          <w:lang w:val="en-GB"/>
        </w:rPr>
        <w:t>The following annexes form an integral part of the Contract.</w:t>
      </w:r>
    </w:p>
    <w:p>
      <w:pPr>
        <w:numPr>
          <w:ilvl w:val="0"/>
          <w:numId w:val="6"/>
        </w:numPr>
        <w:spacing w:after="120"/>
        <w:jc w:val="both"/>
        <w:rPr>
          <w:rFonts w:ascii="Calibri" w:hAnsi="Calibri" w:eastAsia="Times New Roman"/>
          <w:kern w:val="2"/>
          <w:sz w:val="20"/>
          <w:szCs w:val="22"/>
          <w:lang w:val="en-GB" w:eastAsia="ko-KR"/>
        </w:rPr>
      </w:pPr>
      <w:r>
        <w:rPr>
          <w:rFonts w:ascii="Calibri" w:hAnsi="Calibri" w:eastAsia="Times New Roman"/>
          <w:kern w:val="2"/>
          <w:sz w:val="20"/>
          <w:szCs w:val="22"/>
          <w:lang w:val="en-GB" w:eastAsia="ko-KR"/>
        </w:rPr>
        <w:t xml:space="preserve">Annex A – Condition for Execution of Works; </w:t>
      </w:r>
    </w:p>
    <w:p>
      <w:pPr>
        <w:numPr>
          <w:ilvl w:val="0"/>
          <w:numId w:val="6"/>
        </w:numPr>
        <w:spacing w:after="120"/>
        <w:jc w:val="both"/>
        <w:rPr>
          <w:rFonts w:ascii="Calibri" w:hAnsi="Calibri" w:eastAsia="Times New Roman"/>
          <w:kern w:val="2"/>
          <w:sz w:val="20"/>
          <w:szCs w:val="22"/>
          <w:lang w:val="en-GB" w:eastAsia="ko-KR"/>
        </w:rPr>
      </w:pPr>
      <w:r>
        <w:rPr>
          <w:rFonts w:ascii="Calibri" w:hAnsi="Calibri" w:eastAsia="Times New Roman"/>
          <w:kern w:val="2"/>
          <w:sz w:val="20"/>
          <w:szCs w:val="22"/>
          <w:lang w:val="en-GB" w:eastAsia="ko-KR"/>
        </w:rPr>
        <w:t>Annex B – Specifications; and</w:t>
      </w:r>
    </w:p>
    <w:p>
      <w:pPr>
        <w:numPr>
          <w:ilvl w:val="0"/>
          <w:numId w:val="6"/>
        </w:numPr>
        <w:spacing w:after="120"/>
        <w:jc w:val="both"/>
        <w:rPr>
          <w:rFonts w:ascii="Calibri" w:hAnsi="Calibri" w:eastAsia="Times New Roman"/>
          <w:kern w:val="2"/>
          <w:sz w:val="20"/>
          <w:szCs w:val="22"/>
          <w:lang w:val="en-GB" w:eastAsia="ko-KR"/>
        </w:rPr>
      </w:pPr>
      <w:r>
        <w:rPr>
          <w:rFonts w:ascii="Calibri" w:hAnsi="Calibri" w:eastAsia="Times New Roman"/>
          <w:kern w:val="2"/>
          <w:sz w:val="20"/>
          <w:szCs w:val="22"/>
          <w:lang w:val="en-GB" w:eastAsia="ko-KR"/>
        </w:rPr>
        <w:t>Annex C – Terms and Conditions (GCC).</w:t>
      </w:r>
    </w:p>
    <w:p>
      <w:pPr>
        <w:keepNext/>
        <w:keepLines/>
        <w:numPr>
          <w:ilvl w:val="0"/>
          <w:numId w:val="5"/>
        </w:numPr>
        <w:spacing w:before="240" w:after="120"/>
        <w:jc w:val="both"/>
        <w:outlineLvl w:val="2"/>
        <w:rPr>
          <w:rFonts w:ascii="Calibri" w:hAnsi="Calibri"/>
          <w:smallCaps/>
        </w:rPr>
      </w:pPr>
      <w:bookmarkStart w:id="13" w:name="_Toc18597752"/>
      <w:bookmarkStart w:id="14" w:name="_Toc18147712"/>
      <w:r>
        <w:rPr>
          <w:rFonts w:ascii="Calibri" w:hAnsi="Calibri"/>
          <w:smallCaps/>
        </w:rPr>
        <w:t xml:space="preserve">Scope of the </w:t>
      </w:r>
      <w:bookmarkEnd w:id="13"/>
      <w:bookmarkEnd w:id="14"/>
      <w:r>
        <w:rPr>
          <w:rFonts w:ascii="Calibri" w:hAnsi="Calibri"/>
          <w:smallCaps/>
        </w:rPr>
        <w:t>Execution of Works</w:t>
      </w:r>
    </w:p>
    <w:p>
      <w:pPr>
        <w:ind w:left="-6"/>
        <w:rPr>
          <w:szCs w:val="20"/>
          <w:lang w:val="en-GB"/>
        </w:rPr>
      </w:pPr>
      <w:r>
        <w:rPr>
          <w:szCs w:val="20"/>
          <w:lang w:val="en-GB"/>
        </w:rPr>
        <w:t>The Contractor shall execute the works described in Annex A to the SCC “Conditions for Execution of Works” (the “Works”) on the delivery date or dates (“Delivery Date or Dates”) and in accordance with the “Specifications” set out in Annex B to the SCC and shall remedy defects in conformity in all respects with the provisions of the Contract.</w:t>
      </w:r>
    </w:p>
    <w:p>
      <w:pPr>
        <w:keepNext/>
        <w:keepLines/>
        <w:numPr>
          <w:ilvl w:val="0"/>
          <w:numId w:val="5"/>
        </w:numPr>
        <w:spacing w:before="240" w:after="120"/>
        <w:jc w:val="both"/>
        <w:outlineLvl w:val="2"/>
        <w:rPr>
          <w:rFonts w:ascii="Calibri" w:hAnsi="Calibri"/>
          <w:smallCaps/>
        </w:rPr>
      </w:pPr>
      <w:bookmarkStart w:id="15" w:name="_Toc11850093"/>
      <w:bookmarkStart w:id="16" w:name="_Toc18597753"/>
      <w:bookmarkStart w:id="17" w:name="_Toc18147713"/>
      <w:r>
        <w:rPr>
          <w:rFonts w:ascii="Calibri" w:hAnsi="Calibri"/>
          <w:smallCaps/>
        </w:rPr>
        <w:t>Payment</w:t>
      </w:r>
      <w:bookmarkEnd w:id="15"/>
      <w:bookmarkEnd w:id="16"/>
      <w:bookmarkEnd w:id="17"/>
    </w:p>
    <w:p>
      <w:pPr>
        <w:numPr>
          <w:ilvl w:val="1"/>
          <w:numId w:val="5"/>
        </w:numPr>
        <w:spacing w:after="120"/>
        <w:ind w:left="426"/>
        <w:jc w:val="both"/>
        <w:rPr>
          <w:rFonts w:ascii="Calibri" w:hAnsi="Calibri" w:eastAsia="Times New Roman"/>
          <w:kern w:val="2"/>
          <w:sz w:val="20"/>
          <w:szCs w:val="22"/>
          <w:lang w:eastAsia="ko-KR"/>
        </w:rPr>
      </w:pPr>
      <w:r>
        <w:rPr>
          <w:rFonts w:ascii="Calibri" w:hAnsi="Calibri" w:eastAsia="Times New Roman"/>
          <w:kern w:val="2"/>
          <w:sz w:val="20"/>
          <w:szCs w:val="20"/>
          <w:lang w:val="en-GB" w:eastAsia="ko-KR"/>
        </w:rPr>
        <w:t>The Procuring Entity shall pay the Contractor in accordance with the terms of the Contract a total amount of AU$ [</w:t>
      </w:r>
      <w:r>
        <w:rPr>
          <w:rFonts w:ascii="Calibri" w:hAnsi="Calibri" w:eastAsia="Times New Roman"/>
          <w:kern w:val="2"/>
          <w:sz w:val="20"/>
          <w:szCs w:val="20"/>
          <w:highlight w:val="yellow"/>
          <w:lang w:val="en-GB" w:eastAsia="ko-KR"/>
        </w:rPr>
        <w:t>insert amount</w:t>
      </w:r>
      <w:r>
        <w:rPr>
          <w:rFonts w:ascii="Calibri" w:hAnsi="Calibri" w:eastAsia="Times New Roman"/>
          <w:kern w:val="2"/>
          <w:sz w:val="20"/>
          <w:szCs w:val="20"/>
          <w:lang w:val="en-GB" w:eastAsia="ko-KR"/>
        </w:rPr>
        <w:t>] (the “Contract Amount”).</w:t>
      </w:r>
    </w:p>
    <w:p>
      <w:pPr>
        <w:numPr>
          <w:ilvl w:val="1"/>
          <w:numId w:val="5"/>
        </w:numPr>
        <w:spacing w:after="120"/>
        <w:ind w:left="426"/>
        <w:jc w:val="both"/>
        <w:rPr>
          <w:rFonts w:ascii="Calibri" w:hAnsi="Calibri" w:eastAsia="Times New Roman"/>
          <w:kern w:val="2"/>
          <w:sz w:val="20"/>
          <w:szCs w:val="20"/>
          <w:lang w:val="en-GB" w:eastAsia="ko-KR"/>
        </w:rPr>
      </w:pPr>
      <w:r>
        <w:rPr>
          <w:rFonts w:ascii="Calibri" w:hAnsi="Calibri" w:eastAsia="Times New Roman"/>
          <w:kern w:val="2"/>
          <w:sz w:val="20"/>
          <w:szCs w:val="20"/>
          <w:lang w:val="en-GB" w:eastAsia="ko-KR"/>
        </w:rPr>
        <w:t>Upon submission of an appropriate invoice by the Contractor, the Contract Amount shall be paid in AU$ within 30 days of the receipt.</w:t>
      </w:r>
    </w:p>
    <w:p>
      <w:pPr>
        <w:numPr>
          <w:ilvl w:val="1"/>
          <w:numId w:val="5"/>
        </w:numPr>
        <w:spacing w:after="120"/>
        <w:ind w:left="426"/>
        <w:jc w:val="both"/>
        <w:rPr>
          <w:rFonts w:ascii="Calibri" w:hAnsi="Calibri" w:eastAsia="Times New Roman"/>
          <w:kern w:val="2"/>
          <w:sz w:val="20"/>
          <w:szCs w:val="20"/>
          <w:lang w:val="en-GB" w:eastAsia="ko-KR"/>
        </w:rPr>
      </w:pPr>
      <w:r>
        <w:rPr>
          <w:rFonts w:ascii="Calibri" w:hAnsi="Calibri" w:eastAsia="Times New Roman"/>
          <w:kern w:val="2"/>
          <w:sz w:val="20"/>
          <w:szCs w:val="20"/>
          <w:lang w:val="en-GB" w:eastAsia="ko-KR"/>
        </w:rPr>
        <w:t>The Contractor shall have sole responsibility for (i) the payment of all taxes, including any indirect taxes and value-added taxes (VAT) arising out of or in connection with the Contract, whether paid as part of the Contract Amount or not, and (ii) the filing of any required tax returns or other information related thereto with the relevant tax authorities. If any tax must be paid by the Procuring Entity on account of any payment hereunder, the amount of any such tax shall be deducted from the amount payable by the Procuring Entity to the Contractor.</w:t>
      </w:r>
    </w:p>
    <w:p>
      <w:pPr>
        <w:numPr>
          <w:ilvl w:val="1"/>
          <w:numId w:val="5"/>
        </w:numPr>
        <w:spacing w:after="120"/>
        <w:ind w:left="426"/>
        <w:jc w:val="both"/>
        <w:rPr>
          <w:rFonts w:ascii="Calibri" w:hAnsi="Calibri" w:eastAsia="Times New Roman"/>
          <w:kern w:val="2"/>
          <w:sz w:val="20"/>
          <w:szCs w:val="20"/>
          <w:lang w:val="en-GB" w:eastAsia="ko-KR"/>
        </w:rPr>
      </w:pPr>
      <w:r>
        <w:rPr>
          <w:rFonts w:ascii="Calibri" w:hAnsi="Calibri" w:eastAsia="Times New Roman"/>
          <w:kern w:val="2"/>
          <w:sz w:val="20"/>
          <w:szCs w:val="20"/>
          <w:lang w:val="en-GB" w:eastAsia="ko-KR"/>
        </w:rPr>
        <w:t xml:space="preserve">Payment shall be made to the bank account of the Contractor as specified in section SCC </w:t>
      </w:r>
      <w:r>
        <w:rPr>
          <w:rFonts w:ascii="Calibri" w:hAnsi="Calibri" w:eastAsia="Times New Roman"/>
          <w:kern w:val="2"/>
          <w:sz w:val="20"/>
          <w:szCs w:val="22"/>
          <w:lang w:eastAsia="ko-KR"/>
        </w:rPr>
        <w:fldChar w:fldCharType="begin"/>
      </w:r>
      <w:r>
        <w:rPr>
          <w:rFonts w:ascii="Calibri" w:hAnsi="Calibri" w:eastAsia="Times New Roman"/>
          <w:kern w:val="2"/>
          <w:sz w:val="20"/>
          <w:szCs w:val="20"/>
          <w:lang w:val="en-GB" w:eastAsia="ko-KR"/>
        </w:rPr>
        <w:instrText xml:space="preserve"> REF _Ref18489902 \r \h </w:instrText>
      </w:r>
      <w:r>
        <w:rPr>
          <w:rFonts w:ascii="Calibri" w:hAnsi="Calibri" w:eastAsia="Times New Roman"/>
          <w:kern w:val="2"/>
          <w:sz w:val="20"/>
          <w:szCs w:val="22"/>
          <w:lang w:eastAsia="ko-KR"/>
        </w:rPr>
        <w:fldChar w:fldCharType="separate"/>
      </w:r>
      <w:r>
        <w:rPr>
          <w:rFonts w:ascii="Calibri" w:hAnsi="Calibri" w:eastAsia="Times New Roman"/>
          <w:kern w:val="2"/>
          <w:sz w:val="20"/>
          <w:szCs w:val="20"/>
          <w:lang w:val="en-GB" w:eastAsia="ko-KR"/>
        </w:rPr>
        <w:t>4</w:t>
      </w:r>
      <w:r>
        <w:rPr>
          <w:rFonts w:ascii="Calibri" w:hAnsi="Calibri" w:eastAsia="Times New Roman"/>
          <w:kern w:val="2"/>
          <w:sz w:val="20"/>
          <w:szCs w:val="22"/>
          <w:lang w:eastAsia="ko-KR"/>
        </w:rPr>
        <w:fldChar w:fldCharType="end"/>
      </w:r>
      <w:r>
        <w:rPr>
          <w:rFonts w:ascii="Calibri" w:hAnsi="Calibri" w:eastAsia="Times New Roman"/>
          <w:kern w:val="2"/>
          <w:sz w:val="20"/>
          <w:szCs w:val="20"/>
          <w:lang w:val="en-GB" w:eastAsia="ko-KR"/>
        </w:rPr>
        <w:t>.</w:t>
      </w:r>
    </w:p>
    <w:p>
      <w:pPr>
        <w:spacing w:before="0" w:after="160" w:line="256" w:lineRule="auto"/>
        <w:rPr>
          <w:rFonts w:eastAsiaTheme="majorEastAsia" w:cstheme="majorBidi"/>
          <w:b/>
        </w:rPr>
      </w:pPr>
      <w:r>
        <w:br w:type="page"/>
      </w:r>
      <w:bookmarkStart w:id="18" w:name="_Toc18597498"/>
      <w:bookmarkEnd w:id="18"/>
      <w:bookmarkStart w:id="19" w:name="_Toc18597766"/>
      <w:bookmarkEnd w:id="19"/>
      <w:bookmarkStart w:id="20" w:name="_Toc18597536"/>
      <w:bookmarkEnd w:id="20"/>
      <w:bookmarkStart w:id="21" w:name="_Toc18597539"/>
      <w:bookmarkEnd w:id="21"/>
      <w:bookmarkStart w:id="22" w:name="_Toc18597506"/>
      <w:bookmarkEnd w:id="22"/>
      <w:bookmarkStart w:id="23" w:name="_Toc18597501"/>
      <w:bookmarkEnd w:id="23"/>
      <w:bookmarkStart w:id="24" w:name="_Toc18597540"/>
      <w:bookmarkEnd w:id="24"/>
      <w:bookmarkStart w:id="25" w:name="_Toc18597535"/>
      <w:bookmarkEnd w:id="25"/>
      <w:bookmarkStart w:id="26" w:name="_Toc18597770"/>
      <w:bookmarkEnd w:id="26"/>
      <w:bookmarkStart w:id="27" w:name="_Toc18597763"/>
      <w:bookmarkEnd w:id="27"/>
      <w:bookmarkStart w:id="28" w:name="_Toc18597762"/>
      <w:bookmarkEnd w:id="28"/>
      <w:bookmarkStart w:id="29" w:name="_Toc18597500"/>
      <w:bookmarkEnd w:id="29"/>
      <w:bookmarkStart w:id="30" w:name="_Toc18597531"/>
      <w:bookmarkEnd w:id="30"/>
      <w:bookmarkStart w:id="31" w:name="_Toc18597764"/>
      <w:bookmarkEnd w:id="31"/>
      <w:bookmarkStart w:id="32" w:name="_Toc18597503"/>
      <w:bookmarkEnd w:id="32"/>
      <w:bookmarkStart w:id="33" w:name="_Toc18597765"/>
      <w:bookmarkEnd w:id="33"/>
      <w:bookmarkStart w:id="34" w:name="_Toc18597499"/>
      <w:bookmarkEnd w:id="34"/>
      <w:bookmarkStart w:id="35" w:name="_Toc18597761"/>
      <w:bookmarkEnd w:id="35"/>
      <w:bookmarkStart w:id="36" w:name="_Toc18597534"/>
      <w:bookmarkEnd w:id="36"/>
      <w:bookmarkStart w:id="37" w:name="_Toc18597497"/>
      <w:bookmarkEnd w:id="37"/>
      <w:bookmarkStart w:id="38" w:name="_Toc18597532"/>
      <w:bookmarkEnd w:id="38"/>
      <w:bookmarkStart w:id="39" w:name="_Toc18597533"/>
      <w:bookmarkEnd w:id="39"/>
      <w:bookmarkStart w:id="40" w:name="_Toc18597767"/>
      <w:bookmarkEnd w:id="40"/>
      <w:bookmarkStart w:id="41" w:name="_Toc18597505"/>
      <w:bookmarkEnd w:id="41"/>
      <w:bookmarkStart w:id="42" w:name="_Toc18597537"/>
      <w:bookmarkEnd w:id="42"/>
      <w:bookmarkStart w:id="43" w:name="_Toc18597502"/>
      <w:bookmarkEnd w:id="43"/>
      <w:bookmarkStart w:id="44" w:name="_Toc18597769"/>
      <w:bookmarkEnd w:id="44"/>
      <w:bookmarkStart w:id="45" w:name="_Toc18597491"/>
      <w:bookmarkEnd w:id="45"/>
      <w:bookmarkStart w:id="46" w:name="_Toc18597530"/>
      <w:bookmarkEnd w:id="46"/>
      <w:bookmarkStart w:id="47" w:name="_Toc18597755"/>
      <w:bookmarkEnd w:id="47"/>
      <w:bookmarkStart w:id="48" w:name="_Toc18597757"/>
      <w:bookmarkEnd w:id="48"/>
      <w:bookmarkStart w:id="49" w:name="_Toc18597527"/>
      <w:bookmarkEnd w:id="49"/>
      <w:bookmarkStart w:id="50" w:name="_Toc18597760"/>
      <w:bookmarkEnd w:id="50"/>
      <w:bookmarkStart w:id="51" w:name="_Toc18597756"/>
      <w:bookmarkEnd w:id="51"/>
      <w:bookmarkStart w:id="52" w:name="_Toc18597493"/>
      <w:bookmarkEnd w:id="52"/>
      <w:bookmarkStart w:id="53" w:name="_Toc18597526"/>
      <w:bookmarkEnd w:id="53"/>
      <w:bookmarkStart w:id="54" w:name="_Toc18597492"/>
      <w:bookmarkEnd w:id="54"/>
      <w:bookmarkStart w:id="55" w:name="_Toc18597525"/>
      <w:bookmarkEnd w:id="55"/>
      <w:bookmarkStart w:id="56" w:name="_Toc18597494"/>
      <w:bookmarkEnd w:id="56"/>
      <w:bookmarkStart w:id="57" w:name="_Toc18597528"/>
      <w:bookmarkEnd w:id="57"/>
      <w:bookmarkStart w:id="58" w:name="_Toc18597758"/>
      <w:bookmarkEnd w:id="58"/>
      <w:bookmarkStart w:id="59" w:name="_Toc18597496"/>
      <w:bookmarkEnd w:id="59"/>
      <w:bookmarkStart w:id="60" w:name="_Toc18147717"/>
      <w:bookmarkStart w:id="61" w:name="_Toc11850094"/>
      <w:bookmarkStart w:id="62" w:name="_Ref18489902"/>
      <w:bookmarkStart w:id="63" w:name="_Toc18597771"/>
      <w:bookmarkStart w:id="64" w:name="_Ref11845945"/>
    </w:p>
    <w:p>
      <w:pPr>
        <w:keepNext/>
        <w:keepLines/>
        <w:numPr>
          <w:ilvl w:val="0"/>
          <w:numId w:val="5"/>
        </w:numPr>
        <w:spacing w:before="240" w:after="120"/>
        <w:jc w:val="both"/>
        <w:outlineLvl w:val="2"/>
        <w:rPr>
          <w:rFonts w:ascii="Calibri" w:hAnsi="Calibri"/>
          <w:smallCaps/>
        </w:rPr>
      </w:pPr>
      <w:r>
        <w:rPr>
          <w:rFonts w:ascii="Calibri" w:hAnsi="Calibri"/>
          <w:smallCaps/>
        </w:rPr>
        <w:t>Official Addresses for Notices and Requests</w:t>
      </w:r>
      <w:bookmarkEnd w:id="60"/>
      <w:bookmarkEnd w:id="61"/>
      <w:bookmarkEnd w:id="62"/>
      <w:bookmarkEnd w:id="63"/>
      <w:bookmarkEnd w:id="64"/>
    </w:p>
    <w:p>
      <w:pPr>
        <w:ind w:left="-6"/>
        <w:rPr>
          <w:szCs w:val="20"/>
          <w:lang w:val="en-GB"/>
        </w:rPr>
      </w:pPr>
      <w:r>
        <w:rPr>
          <w:szCs w:val="20"/>
          <w:lang w:val="en-GB"/>
        </w:rPr>
        <w:t>Any notice, or request under the Contract shall be in writing. Such notice or request shall be deemed to be duly given or made when it shall have been delivered by hand, mail or e-mail to the party to which it is required to be given or made at such party's address specified below:</w:t>
      </w:r>
    </w:p>
    <w:p>
      <w:pPr>
        <w:jc w:val="both"/>
        <w:rPr>
          <w:rFonts w:eastAsiaTheme="minorEastAsia" w:cstheme="minorBidi"/>
          <w:b/>
          <w:color w:val="595959" w:themeColor="text1" w:themeTint="A6"/>
          <w:spacing w:val="15"/>
          <w:sz w:val="20"/>
          <w:szCs w:val="22"/>
          <w:lang w:val="en-GB"/>
          <w14:textFill>
            <w14:solidFill>
              <w14:schemeClr w14:val="tx1">
                <w14:lumMod w14:val="65000"/>
                <w14:lumOff w14:val="35000"/>
              </w14:schemeClr>
            </w14:solidFill>
          </w14:textFill>
        </w:rPr>
      </w:pPr>
      <w:r>
        <w:rPr>
          <w:rFonts w:eastAsiaTheme="minorEastAsia" w:cstheme="minorBidi"/>
          <w:b/>
          <w:color w:val="595959" w:themeColor="text1" w:themeTint="A6"/>
          <w:spacing w:val="15"/>
          <w:sz w:val="20"/>
          <w:szCs w:val="22"/>
          <w:lang w:val="en-GB"/>
          <w14:textFill>
            <w14:solidFill>
              <w14:schemeClr w14:val="tx1">
                <w14:lumMod w14:val="65000"/>
                <w14:lumOff w14:val="35000"/>
              </w14:schemeClr>
            </w14:solidFill>
          </w14:textFill>
        </w:rPr>
        <w:t xml:space="preserve">For </w:t>
      </w:r>
      <w:r>
        <w:rPr>
          <w:rFonts w:eastAsiaTheme="minorEastAsia" w:cstheme="minorBidi"/>
          <w:b/>
          <w:color w:val="595959" w:themeColor="text1" w:themeTint="A6"/>
          <w:spacing w:val="15"/>
          <w:sz w:val="20"/>
          <w:szCs w:val="22"/>
          <w:lang w:val="en-GB" w:eastAsia="ko-KR"/>
          <w14:textFill>
            <w14:solidFill>
              <w14:schemeClr w14:val="tx1">
                <w14:lumMod w14:val="65000"/>
                <w14:lumOff w14:val="35000"/>
              </w14:schemeClr>
            </w14:solidFill>
          </w14:textFill>
        </w:rPr>
        <w:t>the Procuring Entity</w:t>
      </w:r>
      <w:r>
        <w:rPr>
          <w:rFonts w:eastAsiaTheme="minorEastAsia" w:cstheme="minorBidi"/>
          <w:b/>
          <w:color w:val="595959" w:themeColor="text1" w:themeTint="A6"/>
          <w:spacing w:val="15"/>
          <w:sz w:val="20"/>
          <w:szCs w:val="22"/>
          <w:lang w:val="en-GB"/>
          <w14:textFill>
            <w14:solidFill>
              <w14:schemeClr w14:val="tx1">
                <w14:lumMod w14:val="65000"/>
                <w14:lumOff w14:val="35000"/>
              </w14:schemeClr>
            </w14:solidFill>
          </w14:textFill>
        </w:rPr>
        <w:t>:</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Address</w:t>
            </w:r>
          </w:p>
        </w:tc>
        <w:tc>
          <w:tcPr>
            <w:tcW w:w="6884"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Country</w:t>
            </w:r>
          </w:p>
        </w:tc>
        <w:tc>
          <w:tcPr>
            <w:tcW w:w="6884"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Republic of Kiribati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Attention of</w:t>
            </w:r>
          </w:p>
        </w:tc>
        <w:tc>
          <w:tcPr>
            <w:tcW w:w="6884"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b/>
                <w:szCs w:val="20"/>
                <w:highlight w:val="yellow"/>
                <w:lang w:val="en-GB"/>
              </w:rPr>
              <w:t>[authorised representative]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e-mail</w:t>
            </w:r>
          </w:p>
        </w:tc>
        <w:tc>
          <w:tcPr>
            <w:tcW w:w="6884"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Phone</w:t>
            </w:r>
          </w:p>
        </w:tc>
        <w:tc>
          <w:tcPr>
            <w:tcW w:w="6884"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p>
        </w:tc>
      </w:tr>
    </w:tbl>
    <w:p>
      <w:pPr>
        <w:jc w:val="both"/>
        <w:rPr>
          <w:rFonts w:eastAsiaTheme="minorEastAsia" w:cstheme="minorBidi"/>
          <w:b/>
          <w:color w:val="595959" w:themeColor="text1" w:themeTint="A6"/>
          <w:spacing w:val="15"/>
          <w:sz w:val="20"/>
          <w:szCs w:val="22"/>
          <w:lang w:val="en-GB"/>
          <w14:textFill>
            <w14:solidFill>
              <w14:schemeClr w14:val="tx1">
                <w14:lumMod w14:val="65000"/>
                <w14:lumOff w14:val="35000"/>
              </w14:schemeClr>
            </w14:solidFill>
          </w14:textFill>
        </w:rPr>
      </w:pPr>
      <w:r>
        <w:rPr>
          <w:rFonts w:eastAsiaTheme="minorEastAsia" w:cstheme="minorBidi"/>
          <w:b/>
          <w:color w:val="595959" w:themeColor="text1" w:themeTint="A6"/>
          <w:spacing w:val="15"/>
          <w:sz w:val="20"/>
          <w:szCs w:val="22"/>
          <w:lang w:val="en-GB"/>
          <w14:textFill>
            <w14:solidFill>
              <w14:schemeClr w14:val="tx1">
                <w14:lumMod w14:val="65000"/>
                <w14:lumOff w14:val="35000"/>
              </w14:schemeClr>
            </w14:solidFill>
          </w14:textFill>
        </w:rPr>
        <w:t xml:space="preserve">For the </w:t>
      </w:r>
      <w:r>
        <w:rPr>
          <w:rFonts w:cstheme="minorBidi"/>
          <w:b/>
          <w:color w:val="595959" w:themeColor="text1" w:themeTint="A6"/>
          <w:spacing w:val="15"/>
          <w:sz w:val="20"/>
          <w:szCs w:val="22"/>
          <w:lang w:val="en-GB" w:eastAsia="ko-KR"/>
          <w14:textFill>
            <w14:solidFill>
              <w14:schemeClr w14:val="tx1">
                <w14:lumMod w14:val="65000"/>
                <w14:lumOff w14:val="35000"/>
              </w14:schemeClr>
            </w14:solidFill>
          </w14:textFill>
        </w:rPr>
        <w:t>Supplier:</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Address</w:t>
            </w:r>
          </w:p>
        </w:tc>
        <w:tc>
          <w:tcPr>
            <w:tcW w:w="6884"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Country</w:t>
            </w:r>
          </w:p>
        </w:tc>
        <w:tc>
          <w:tcPr>
            <w:tcW w:w="6884"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Attention of</w:t>
            </w:r>
          </w:p>
        </w:tc>
        <w:tc>
          <w:tcPr>
            <w:tcW w:w="6884"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b/>
                <w:szCs w:val="20"/>
                <w:highlight w:val="yellow"/>
                <w:lang w:val="en-GB"/>
              </w:rPr>
              <w:t>[authorised representative]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e-mail</w:t>
            </w:r>
          </w:p>
        </w:tc>
        <w:tc>
          <w:tcPr>
            <w:tcW w:w="6884"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Phone</w:t>
            </w:r>
          </w:p>
        </w:tc>
        <w:tc>
          <w:tcPr>
            <w:tcW w:w="6884"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413"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r>
              <w:rPr>
                <w:rFonts w:eastAsia="MS Mincho"/>
                <w:szCs w:val="20"/>
                <w:lang w:val="en-GB"/>
              </w:rPr>
              <w:t>Bank account details</w:t>
            </w:r>
          </w:p>
        </w:tc>
        <w:tc>
          <w:tcPr>
            <w:tcW w:w="6884" w:type="dxa"/>
            <w:tcBorders>
              <w:top w:val="single" w:color="auto" w:sz="4" w:space="0"/>
              <w:left w:val="single" w:color="auto" w:sz="4" w:space="0"/>
              <w:bottom w:val="single" w:color="auto" w:sz="4" w:space="0"/>
              <w:right w:val="single" w:color="auto" w:sz="4" w:space="0"/>
            </w:tcBorders>
          </w:tcPr>
          <w:p>
            <w:pPr>
              <w:rPr>
                <w:rFonts w:eastAsia="MS Mincho"/>
                <w:szCs w:val="20"/>
                <w:lang w:val="en-GB"/>
              </w:rPr>
            </w:pPr>
          </w:p>
        </w:tc>
      </w:tr>
    </w:tbl>
    <w:p>
      <w:pPr>
        <w:keepNext/>
        <w:keepLines/>
        <w:numPr>
          <w:ilvl w:val="0"/>
          <w:numId w:val="5"/>
        </w:numPr>
        <w:spacing w:before="240" w:after="120"/>
        <w:jc w:val="both"/>
        <w:outlineLvl w:val="2"/>
        <w:rPr>
          <w:rFonts w:ascii="Calibri" w:hAnsi="Calibri"/>
          <w:smallCaps/>
        </w:rPr>
      </w:pPr>
      <w:bookmarkStart w:id="65" w:name="_Toc11850095"/>
      <w:bookmarkStart w:id="66" w:name="_Toc18597772"/>
      <w:bookmarkStart w:id="67" w:name="_Toc18147718"/>
      <w:r>
        <w:rPr>
          <w:rFonts w:ascii="Calibri" w:hAnsi="Calibri"/>
          <w:smallCaps/>
        </w:rPr>
        <w:t xml:space="preserve">Rights and Obligations of the </w:t>
      </w:r>
      <w:bookmarkEnd w:id="65"/>
      <w:bookmarkEnd w:id="66"/>
      <w:bookmarkEnd w:id="67"/>
      <w:r>
        <w:rPr>
          <w:rFonts w:ascii="Calibri" w:hAnsi="Calibri"/>
          <w:smallCaps/>
        </w:rPr>
        <w:t>Contractor</w:t>
      </w:r>
    </w:p>
    <w:p>
      <w:pPr>
        <w:ind w:left="-6"/>
        <w:rPr>
          <w:szCs w:val="20"/>
          <w:lang w:val="en-GB"/>
        </w:rPr>
      </w:pPr>
      <w:r>
        <w:rPr>
          <w:szCs w:val="20"/>
          <w:lang w:val="en-GB"/>
        </w:rPr>
        <w:t>The rights and obligations of the Contractor are strictly limited to the terms and conditions of the Contract, that include the GCC and the SCC. Accordingly, the Contractor shall not be entitled to any payment except as expressly provided in the Contract.</w:t>
      </w:r>
    </w:p>
    <w:p>
      <w:pPr>
        <w:keepNext/>
        <w:keepLines/>
        <w:numPr>
          <w:ilvl w:val="0"/>
          <w:numId w:val="5"/>
        </w:numPr>
        <w:spacing w:before="240" w:after="120"/>
        <w:jc w:val="both"/>
        <w:outlineLvl w:val="2"/>
        <w:rPr>
          <w:rFonts w:ascii="Calibri" w:hAnsi="Calibri"/>
          <w:smallCaps/>
        </w:rPr>
      </w:pPr>
      <w:bookmarkStart w:id="68" w:name="_Toc18597773"/>
      <w:bookmarkStart w:id="69" w:name="_Toc18147719"/>
      <w:bookmarkStart w:id="70" w:name="_Ref11848941"/>
      <w:bookmarkStart w:id="71" w:name="_Toc11850096"/>
      <w:r>
        <w:rPr>
          <w:rFonts w:ascii="Calibri" w:hAnsi="Calibri"/>
          <w:smallCaps/>
        </w:rPr>
        <w:t>Effectiveness</w:t>
      </w:r>
      <w:bookmarkEnd w:id="68"/>
      <w:bookmarkEnd w:id="69"/>
      <w:bookmarkEnd w:id="70"/>
      <w:bookmarkEnd w:id="71"/>
    </w:p>
    <w:p>
      <w:pPr>
        <w:ind w:left="-6"/>
        <w:rPr>
          <w:szCs w:val="20"/>
          <w:lang w:val="en-GB"/>
        </w:rPr>
      </w:pPr>
      <w:r>
        <w:rPr>
          <w:szCs w:val="20"/>
          <w:lang w:val="en-GB"/>
        </w:rPr>
        <w:t>The Contract shall become effective, upon due execution by the Parties and shall continue in full force and effect until the earlier of (i) complete performance of the Supplier’s obligations under the Contract, including guarantees obligations, and all payments therefore, or (ii) termination of the Contract in accordance with the GCC</w:t>
      </w:r>
    </w:p>
    <w:p>
      <w:pPr>
        <w:keepNext/>
        <w:keepLines/>
        <w:numPr>
          <w:ilvl w:val="0"/>
          <w:numId w:val="5"/>
        </w:numPr>
        <w:spacing w:before="240" w:after="120"/>
        <w:jc w:val="both"/>
        <w:outlineLvl w:val="2"/>
        <w:rPr>
          <w:rFonts w:ascii="Calibri" w:hAnsi="Calibri"/>
          <w:smallCaps/>
        </w:rPr>
      </w:pPr>
      <w:bookmarkStart w:id="72" w:name="_Toc18147720"/>
      <w:bookmarkStart w:id="73" w:name="_Toc18597774"/>
      <w:bookmarkStart w:id="74" w:name="_Toc11850097"/>
      <w:bookmarkStart w:id="75" w:name="_Ref11847469"/>
      <w:r>
        <w:rPr>
          <w:rFonts w:ascii="Calibri" w:hAnsi="Calibri"/>
          <w:smallCaps/>
        </w:rPr>
        <w:t>Duration of the Contract</w:t>
      </w:r>
      <w:bookmarkEnd w:id="72"/>
      <w:bookmarkEnd w:id="73"/>
      <w:bookmarkEnd w:id="74"/>
      <w:bookmarkEnd w:id="75"/>
    </w:p>
    <w:p>
      <w:pPr>
        <w:ind w:left="-6"/>
        <w:rPr>
          <w:szCs w:val="20"/>
          <w:lang w:val="en-GB"/>
        </w:rPr>
      </w:pPr>
      <w:r>
        <w:rPr>
          <w:szCs w:val="20"/>
          <w:lang w:val="en-GB"/>
        </w:rPr>
        <w:t>The Contract shall have an overall duration of [</w:t>
      </w:r>
      <w:r>
        <w:rPr>
          <w:szCs w:val="20"/>
          <w:highlight w:val="yellow"/>
          <w:lang w:val="en-GB"/>
        </w:rPr>
        <w:t>specify duration in years / months / days or date of termination</w:t>
      </w:r>
      <w:r>
        <w:rPr>
          <w:szCs w:val="20"/>
          <w:lang w:val="en-GB"/>
        </w:rPr>
        <w:t>] in line with Annex A.</w:t>
      </w:r>
      <w:bookmarkStart w:id="76" w:name="_Hlk530478639"/>
    </w:p>
    <w:p>
      <w:pPr>
        <w:spacing w:before="360" w:after="360"/>
        <w:jc w:val="center"/>
        <w:rPr>
          <w:lang w:val="en-GB"/>
        </w:rPr>
      </w:pPr>
      <w:r>
        <w:rPr>
          <w:lang w:val="en-GB"/>
        </w:rPr>
        <w:t>* * * * *</w:t>
      </w:r>
    </w:p>
    <w:p>
      <w:pPr>
        <w:tabs>
          <w:tab w:val="left" w:pos="4253"/>
        </w:tabs>
        <w:rPr>
          <w:b/>
          <w:bCs/>
          <w:lang w:val="en-GB" w:eastAsia="ko-KR"/>
        </w:rPr>
      </w:pPr>
      <w:r>
        <w:rPr>
          <w:b/>
          <w:bCs/>
          <w:lang w:val="en-GB"/>
        </w:rPr>
        <w:t>FOR THE PROCURING ENTITY</w:t>
      </w:r>
      <w:r>
        <w:rPr>
          <w:b/>
          <w:bCs/>
          <w:lang w:val="en-GB"/>
        </w:rPr>
        <w:tab/>
      </w:r>
      <w:r>
        <w:rPr>
          <w:b/>
          <w:bCs/>
          <w:lang w:val="en-GB"/>
        </w:rPr>
        <w:t xml:space="preserve">FOR THE </w:t>
      </w:r>
      <w:r>
        <w:rPr>
          <w:b/>
          <w:bCs/>
          <w:lang w:val="en-GB" w:eastAsia="ko-KR"/>
        </w:rPr>
        <w:t>CONTRACTOR</w:t>
      </w:r>
    </w:p>
    <w:bookmarkEnd w:id="76"/>
    <w:p>
      <w:pPr>
        <w:tabs>
          <w:tab w:val="left" w:pos="4253"/>
        </w:tabs>
        <w:rPr>
          <w:bCs/>
          <w:lang w:val="en-GB"/>
        </w:rPr>
      </w:pPr>
      <w:r>
        <w:rPr>
          <w:bCs/>
          <w:lang w:val="en-GB"/>
        </w:rPr>
        <w:t>(date, name and signature)</w:t>
      </w:r>
      <w:r>
        <w:rPr>
          <w:bCs/>
          <w:lang w:val="en-GB"/>
        </w:rPr>
        <w:tab/>
      </w:r>
      <w:r>
        <w:rPr>
          <w:bCs/>
          <w:lang w:val="en-GB"/>
        </w:rPr>
        <w:t>(date, name and signature)</w:t>
      </w:r>
    </w:p>
    <w:p>
      <w:pPr>
        <w:tabs>
          <w:tab w:val="left" w:pos="4253"/>
        </w:tabs>
        <w:rPr>
          <w:bCs/>
          <w:lang w:val="en-GB"/>
        </w:rPr>
      </w:pPr>
      <w:r>
        <w:rPr>
          <w:bCs/>
          <w:lang w:val="en-GB"/>
        </w:rPr>
        <w:t>----------------------------------------------</w:t>
      </w:r>
      <w:r>
        <w:rPr>
          <w:bCs/>
          <w:lang w:val="en-GB"/>
        </w:rPr>
        <w:tab/>
      </w:r>
      <w:r>
        <w:rPr>
          <w:bCs/>
          <w:lang w:val="en-GB"/>
        </w:rPr>
        <w:t>----------------------------------------------------------------</w:t>
      </w:r>
    </w:p>
    <w:p>
      <w:pPr>
        <w:spacing w:before="0" w:after="160" w:line="256" w:lineRule="auto"/>
        <w:rPr>
          <w:rFonts w:eastAsiaTheme="majorEastAsia" w:cstheme="majorBidi"/>
          <w:b/>
          <w:szCs w:val="32"/>
          <w:lang w:val="en-GB"/>
        </w:rPr>
      </w:pPr>
      <w:r>
        <w:rPr>
          <w:lang w:val="en-GB"/>
        </w:rPr>
        <w:br w:type="page"/>
      </w:r>
    </w:p>
    <w:p>
      <w:pPr>
        <w:pStyle w:val="2"/>
      </w:pPr>
      <w:r>
        <w:t>ANNEX A – CONDITIONS FOR EXECUTION OF WORKS</w:t>
      </w:r>
    </w:p>
    <w:p>
      <w:pPr>
        <w:pStyle w:val="4"/>
        <w:rPr>
          <w:lang w:val="en-GB"/>
        </w:rPr>
      </w:pPr>
      <w:bookmarkStart w:id="77" w:name="_Toc18147722"/>
      <w:bookmarkStart w:id="78" w:name="_Toc18597776"/>
      <w:r>
        <w:rPr>
          <w:lang w:val="en-GB"/>
        </w:rPr>
        <w:t xml:space="preserve">Works to be </w:t>
      </w:r>
      <w:bookmarkEnd w:id="77"/>
      <w:bookmarkEnd w:id="78"/>
      <w:r>
        <w:t>executed</w:t>
      </w:r>
    </w:p>
    <w:p>
      <w:pPr>
        <w:ind w:left="45"/>
        <w:rPr>
          <w:i/>
          <w:szCs w:val="20"/>
          <w:highlight w:val="yellow"/>
          <w:lang w:val="en-GB" w:eastAsia="ko-KR"/>
        </w:rPr>
      </w:pPr>
      <w:r>
        <w:rPr>
          <w:i/>
          <w:szCs w:val="20"/>
          <w:highlight w:val="yellow"/>
          <w:lang w:val="en-GB" w:eastAsia="ko-KR"/>
        </w:rPr>
        <w:t>brief description of works</w:t>
      </w:r>
    </w:p>
    <w:p>
      <w:pPr>
        <w:rPr>
          <w:lang w:val="en-GB"/>
        </w:rPr>
      </w:pPr>
    </w:p>
    <w:p>
      <w:pPr>
        <w:pStyle w:val="4"/>
        <w:rPr>
          <w:lang w:val="en-GB"/>
        </w:rPr>
      </w:pPr>
      <w:bookmarkStart w:id="79" w:name="_Toc18597777"/>
      <w:bookmarkStart w:id="80" w:name="_Toc18147723"/>
      <w:r>
        <w:rPr>
          <w:lang w:val="en-GB"/>
        </w:rPr>
        <w:t>Delivery date(s)</w:t>
      </w:r>
      <w:bookmarkEnd w:id="79"/>
      <w:bookmarkEnd w:id="80"/>
    </w:p>
    <w:p>
      <w:pPr>
        <w:ind w:left="45"/>
        <w:rPr>
          <w:i/>
          <w:szCs w:val="20"/>
          <w:highlight w:val="yellow"/>
          <w:lang w:val="en-GB" w:eastAsia="ko-KR"/>
        </w:rPr>
      </w:pPr>
      <w:r>
        <w:rPr>
          <w:i/>
          <w:szCs w:val="20"/>
          <w:highlight w:val="yellow"/>
          <w:lang w:val="en-GB" w:eastAsia="ko-KR"/>
        </w:rPr>
        <w:t>delivery date(s)</w:t>
      </w:r>
    </w:p>
    <w:p>
      <w:pPr>
        <w:rPr>
          <w:lang w:val="en-GB"/>
        </w:rPr>
      </w:pPr>
    </w:p>
    <w:p>
      <w:pPr>
        <w:pStyle w:val="4"/>
        <w:rPr>
          <w:lang w:val="en-GB"/>
        </w:rPr>
      </w:pPr>
      <w:bookmarkStart w:id="81" w:name="_Toc18147726"/>
      <w:bookmarkStart w:id="82" w:name="_Toc18597780"/>
      <w:r>
        <w:rPr>
          <w:lang w:val="en-GB"/>
        </w:rPr>
        <w:t>Documents to be provided</w:t>
      </w:r>
      <w:bookmarkEnd w:id="81"/>
      <w:bookmarkEnd w:id="82"/>
    </w:p>
    <w:p>
      <w:pPr>
        <w:rPr>
          <w:i/>
          <w:szCs w:val="20"/>
          <w:lang w:val="en-GB" w:eastAsia="ko-KR"/>
        </w:rPr>
      </w:pPr>
      <w:r>
        <w:rPr>
          <w:i/>
          <w:szCs w:val="20"/>
          <w:highlight w:val="yellow"/>
          <w:lang w:val="en-GB" w:eastAsia="ko-KR"/>
        </w:rPr>
        <w:t>such as invoice, packing lists, insurance documents etc</w:t>
      </w:r>
    </w:p>
    <w:p>
      <w:pPr>
        <w:rPr>
          <w:i/>
          <w:szCs w:val="20"/>
          <w:lang w:val="en-GB" w:eastAsia="ko-KR"/>
        </w:rPr>
      </w:pPr>
      <w:r>
        <w:rPr>
          <w:i/>
          <w:szCs w:val="20"/>
          <w:highlight w:val="yellow"/>
          <w:lang w:val="en-GB" w:eastAsia="ko-KR"/>
        </w:rPr>
        <w:t>also product manuals, instructions, warranties, etc.</w:t>
      </w:r>
    </w:p>
    <w:p>
      <w:pPr>
        <w:rPr>
          <w:i/>
          <w:szCs w:val="20"/>
          <w:lang w:val="en-GB" w:eastAsia="ko-KR"/>
        </w:rPr>
      </w:pPr>
    </w:p>
    <w:p>
      <w:pPr>
        <w:pStyle w:val="4"/>
        <w:rPr>
          <w:lang w:val="en-GB" w:eastAsia="ko-KR"/>
        </w:rPr>
      </w:pPr>
      <w:bookmarkStart w:id="83" w:name="_Toc18147727"/>
      <w:bookmarkStart w:id="84" w:name="_Toc18597781"/>
      <w:r>
        <w:rPr>
          <w:lang w:val="en-GB" w:eastAsia="ko-KR"/>
        </w:rPr>
        <w:t>Packing requirements</w:t>
      </w:r>
      <w:bookmarkEnd w:id="83"/>
      <w:bookmarkEnd w:id="84"/>
    </w:p>
    <w:p>
      <w:pPr>
        <w:rPr>
          <w:lang w:val="en-GB" w:eastAsia="ko-KR"/>
        </w:rPr>
      </w:pPr>
    </w:p>
    <w:p>
      <w:pPr>
        <w:pStyle w:val="4"/>
        <w:rPr>
          <w:lang w:val="en-GB"/>
        </w:rPr>
      </w:pPr>
      <w:bookmarkStart w:id="85" w:name="_Toc18597782"/>
      <w:bookmarkStart w:id="86" w:name="_Toc18147728"/>
      <w:r>
        <w:rPr>
          <w:lang w:val="en-GB"/>
        </w:rPr>
        <w:t>Other conditions</w:t>
      </w:r>
      <w:bookmarkEnd w:id="85"/>
      <w:bookmarkEnd w:id="86"/>
    </w:p>
    <w:p>
      <w:pPr>
        <w:rPr>
          <w:lang w:val="en-GB"/>
        </w:rPr>
      </w:pPr>
    </w:p>
    <w:p>
      <w:pPr>
        <w:spacing w:before="0"/>
        <w:rPr>
          <w:lang w:val="en-GB"/>
        </w:rPr>
      </w:pPr>
      <w:r>
        <w:rPr>
          <w:lang w:val="en-GB"/>
        </w:rPr>
        <w:br w:type="page"/>
      </w:r>
    </w:p>
    <w:p>
      <w:pPr>
        <w:pStyle w:val="2"/>
      </w:pPr>
      <w:bookmarkStart w:id="87" w:name="_Toc18147729"/>
      <w:bookmarkStart w:id="88" w:name="_Toc18597783"/>
      <w:r>
        <w:t>ANNEX B – SPECIFICATION</w:t>
      </w:r>
      <w:bookmarkEnd w:id="87"/>
      <w:bookmarkEnd w:id="88"/>
      <w:r>
        <w:t>S</w:t>
      </w:r>
    </w:p>
    <w:p>
      <w:pPr>
        <w:rPr>
          <w:lang w:val="en-GB"/>
        </w:rPr>
      </w:pPr>
    </w:p>
    <w:p>
      <w:pPr>
        <w:ind w:left="45"/>
        <w:rPr>
          <w:lang w:val="en-GB"/>
        </w:rPr>
      </w:pPr>
      <w:r>
        <w:rPr>
          <w:highlight w:val="yellow"/>
          <w:lang w:val="en-GB"/>
        </w:rPr>
        <w:t>[</w:t>
      </w:r>
      <w:r>
        <w:rPr>
          <w:i/>
          <w:szCs w:val="20"/>
          <w:highlight w:val="yellow"/>
          <w:lang w:val="en-GB" w:eastAsia="ko-KR"/>
        </w:rPr>
        <w:t>detailed description of works, technical specification etc.</w:t>
      </w:r>
      <w:r>
        <w:rPr>
          <w:highlight w:val="yellow"/>
          <w:lang w:val="en-GB"/>
        </w:rPr>
        <w:t>]</w:t>
      </w:r>
    </w:p>
    <w:p>
      <w:pPr>
        <w:spacing w:before="0" w:after="160" w:line="256" w:lineRule="auto"/>
        <w:rPr>
          <w:lang w:val="en-GB"/>
        </w:rPr>
      </w:pPr>
      <w:r>
        <w:rPr>
          <w:lang w:val="en-GB"/>
        </w:rPr>
        <w:br w:type="page"/>
      </w:r>
    </w:p>
    <w:p>
      <w:pPr>
        <w:pStyle w:val="2"/>
      </w:pPr>
      <w:bookmarkStart w:id="89" w:name="_Toc18597784"/>
      <w:bookmarkStart w:id="90" w:name="_Hlk18598187"/>
      <w:r>
        <w:t>ANNEX C – GENERAL CONTRACT CONDITIONS</w:t>
      </w:r>
      <w:bookmarkEnd w:id="89"/>
    </w:p>
    <w:bookmarkEnd w:id="90"/>
    <w:p>
      <w:pPr>
        <w:keepNext/>
        <w:keepLines/>
        <w:spacing w:after="120"/>
        <w:outlineLvl w:val="2"/>
        <w:rPr>
          <w:rFonts w:ascii="Calibri" w:hAnsi="Calibri"/>
          <w:smallCaps/>
        </w:rPr>
      </w:pPr>
      <w:r>
        <w:rPr>
          <w:rFonts w:ascii="Calibri" w:hAnsi="Calibri"/>
          <w:smallCaps/>
        </w:rPr>
        <w:t>Entire Agreement</w:t>
      </w:r>
    </w:p>
    <w:p>
      <w:pPr>
        <w:spacing w:before="0" w:after="120"/>
        <w:rPr>
          <w:rFonts w:ascii="Calibri" w:hAnsi="Calibri"/>
          <w:sz w:val="18"/>
        </w:rPr>
      </w:pPr>
      <w:r>
        <w:rPr>
          <w:rFonts w:ascii="Calibri" w:hAnsi="Calibri"/>
          <w:sz w:val="18"/>
        </w:rPr>
        <w:t>This Works Purchase Order (WPO), including these general terms and conditions, and any special conditions, specifications, drawing and other documents herein constitute the entire agreement between the parties.</w:t>
      </w:r>
    </w:p>
    <w:p>
      <w:pPr>
        <w:keepNext/>
        <w:keepLines/>
        <w:spacing w:after="120"/>
        <w:outlineLvl w:val="2"/>
        <w:rPr>
          <w:rFonts w:ascii="Calibri" w:hAnsi="Calibri"/>
          <w:smallCaps/>
        </w:rPr>
      </w:pPr>
      <w:r>
        <w:rPr>
          <w:rFonts w:ascii="Calibri" w:hAnsi="Calibri"/>
          <w:smallCaps/>
        </w:rPr>
        <w:t>Works</w:t>
      </w:r>
    </w:p>
    <w:p>
      <w:pPr>
        <w:spacing w:before="0" w:after="120"/>
        <w:rPr>
          <w:rFonts w:ascii="Calibri" w:hAnsi="Calibri"/>
          <w:sz w:val="18"/>
        </w:rPr>
      </w:pPr>
      <w:r>
        <w:rPr>
          <w:rFonts w:ascii="Calibri" w:hAnsi="Calibri"/>
          <w:sz w:val="18"/>
        </w:rPr>
        <w:t>“WORKS” means the construction, repair, rehabilitation, demolition, restoration, maintenance of civil work structures, and related services, as required to be executed by the Contractor to the Buyer in accordance with the WPO and as described therein.</w:t>
      </w:r>
    </w:p>
    <w:p>
      <w:pPr>
        <w:keepNext/>
        <w:keepLines/>
        <w:spacing w:after="120"/>
        <w:outlineLvl w:val="2"/>
        <w:rPr>
          <w:rFonts w:ascii="Calibri" w:hAnsi="Calibri"/>
          <w:smallCaps/>
        </w:rPr>
      </w:pPr>
      <w:r>
        <w:rPr>
          <w:rFonts w:ascii="Calibri" w:hAnsi="Calibri"/>
          <w:smallCaps/>
        </w:rPr>
        <w:t>Acknowledgement and Acceptance</w:t>
      </w:r>
    </w:p>
    <w:p>
      <w:pPr>
        <w:spacing w:before="0" w:after="120"/>
        <w:rPr>
          <w:rFonts w:ascii="Calibri" w:hAnsi="Calibri"/>
          <w:sz w:val="18"/>
        </w:rPr>
      </w:pPr>
      <w:r>
        <w:rPr>
          <w:rFonts w:ascii="Calibri" w:hAnsi="Calibri"/>
          <w:sz w:val="18"/>
        </w:rPr>
        <w:t>The Contractor signifies acceptance of the WPO and of the terms and conditions governing the WPO unless the Contractor promptly notifies the Buyer of non-acceptance or modification and thereby has entered into and executed the contract for the Works stated.</w:t>
      </w:r>
    </w:p>
    <w:p>
      <w:pPr>
        <w:keepNext/>
        <w:keepLines/>
        <w:spacing w:after="120"/>
        <w:outlineLvl w:val="2"/>
        <w:rPr>
          <w:rFonts w:ascii="Calibri" w:hAnsi="Calibri"/>
          <w:smallCaps/>
        </w:rPr>
      </w:pPr>
      <w:r>
        <w:rPr>
          <w:rFonts w:ascii="Calibri" w:hAnsi="Calibri"/>
          <w:smallCaps/>
        </w:rPr>
        <w:t>Price and Payments</w:t>
      </w:r>
    </w:p>
    <w:p>
      <w:pPr>
        <w:spacing w:before="0" w:after="120"/>
        <w:rPr>
          <w:rFonts w:ascii="Calibri" w:hAnsi="Calibri"/>
          <w:sz w:val="18"/>
          <w:lang w:eastAsia="ko-KR"/>
        </w:rPr>
      </w:pPr>
      <w:r>
        <w:rPr>
          <w:rFonts w:ascii="Calibri" w:hAnsi="Calibri"/>
          <w:sz w:val="18"/>
          <w:lang w:eastAsia="ko-KR"/>
        </w:rPr>
        <w:t>The price of the Works stated in the WPO shall constitute the full compensation to the Contractor for the Works, and shall include, unless otherwise stated, all costs, service fees and other charges of any kind incurred by the Contractor related to the Works prior to execution of the required works to the Buyer. Payment will be made in accordance with the applicable provisions of the WPO</w:t>
      </w:r>
    </w:p>
    <w:p>
      <w:pPr>
        <w:keepNext/>
        <w:keepLines/>
        <w:spacing w:after="120"/>
        <w:outlineLvl w:val="2"/>
        <w:rPr>
          <w:rFonts w:ascii="Calibri" w:hAnsi="Calibri"/>
          <w:smallCaps/>
        </w:rPr>
      </w:pPr>
      <w:r>
        <w:rPr>
          <w:rFonts w:ascii="Calibri" w:hAnsi="Calibri"/>
          <w:smallCaps/>
        </w:rPr>
        <w:t>Termination</w:t>
      </w:r>
    </w:p>
    <w:p>
      <w:pPr>
        <w:spacing w:before="0" w:after="120"/>
        <w:rPr>
          <w:rFonts w:ascii="Calibri" w:hAnsi="Calibri"/>
          <w:sz w:val="18"/>
        </w:rPr>
      </w:pPr>
      <w:r>
        <w:rPr>
          <w:rFonts w:ascii="Calibri" w:hAnsi="Calibri"/>
          <w:sz w:val="18"/>
        </w:rPr>
        <w:t>The Buyer may at any time for any reason, including curtailment or termination of funding applicable to this agreement, terminate this WPO, in whole or in part, by giving written notice thereof to the Contractor. In the event of such termination, the amount due under the WPO shall be subject to an equitable adjustment, provided only that the Buyer shall not be required to pay the Contractor for Works ordered, but not delivered or manufactured specifically for the Buyer and not being able to sell to others.</w:t>
      </w:r>
    </w:p>
    <w:p>
      <w:pPr>
        <w:keepNext/>
        <w:keepLines/>
        <w:spacing w:after="120"/>
        <w:outlineLvl w:val="2"/>
        <w:rPr>
          <w:rFonts w:ascii="Calibri" w:hAnsi="Calibri"/>
          <w:smallCaps/>
        </w:rPr>
      </w:pPr>
      <w:r>
        <w:rPr>
          <w:rFonts w:ascii="Calibri" w:hAnsi="Calibri"/>
          <w:smallCaps/>
        </w:rPr>
        <w:t>Delay</w:t>
      </w:r>
    </w:p>
    <w:p>
      <w:pPr>
        <w:spacing w:before="0"/>
        <w:rPr>
          <w:rFonts w:ascii="Calibri" w:hAnsi="Calibri"/>
          <w:sz w:val="18"/>
        </w:rPr>
      </w:pPr>
      <w:r>
        <w:rPr>
          <w:rFonts w:ascii="Calibri" w:hAnsi="Calibri"/>
          <w:sz w:val="18"/>
        </w:rPr>
        <w:t>Time is of the essence. Failure by the Contractor to execute the Works within the time specified in the WPO or within a reasonable period of time if no time is specified shall, at the option of the Buyer, relieve the Buyer of its obligations to accept and pay for the Works. Where delays in delivery are due to causes beyond the Contractor’s reasonable control (such as act of nature, act of government, fire, general strike, flood, epidemic, war, riot or civil commotion), execution of works shall be subject to an extension of the time for performance, provided the Contractor has given the Buyer written notice of delay within three (3) days of its commencement. The extent of any extension to the performance period shall be equal to the time actually lost by the Contractor as a result of the delay.</w:t>
      </w:r>
    </w:p>
    <w:p>
      <w:pPr>
        <w:keepNext/>
        <w:keepLines/>
        <w:spacing w:after="120"/>
        <w:outlineLvl w:val="2"/>
        <w:rPr>
          <w:rFonts w:ascii="Calibri" w:hAnsi="Calibri"/>
          <w:smallCaps/>
        </w:rPr>
      </w:pPr>
      <w:r>
        <w:rPr>
          <w:rFonts w:ascii="Calibri" w:hAnsi="Calibri"/>
          <w:smallCaps/>
        </w:rPr>
        <w:t>Liquidated Damages</w:t>
      </w:r>
    </w:p>
    <w:p>
      <w:pPr>
        <w:spacing w:before="0" w:after="120"/>
        <w:rPr>
          <w:rFonts w:ascii="Calibri" w:hAnsi="Calibri"/>
          <w:sz w:val="18"/>
        </w:rPr>
      </w:pPr>
      <w:r>
        <w:rPr>
          <w:rFonts w:ascii="Calibri" w:hAnsi="Calibri"/>
          <w:sz w:val="18"/>
        </w:rPr>
        <w:t>In case the Contractor fails to deliver any or all of the Works within the time specified in the WPO, the Buyer may, without prejudice to any other remedy it may have under the order, deduct from the order value, as compensation for liquidated damages, a sum equivalent to two-tenths of one percent (0.2%) of the contract value for each day of delay in delivery subject to a maximum amount of ten percent (10%) of the order value.</w:t>
      </w:r>
    </w:p>
    <w:p>
      <w:pPr>
        <w:keepNext/>
        <w:keepLines/>
        <w:spacing w:after="120"/>
        <w:outlineLvl w:val="2"/>
        <w:rPr>
          <w:rFonts w:ascii="Calibri" w:hAnsi="Calibri"/>
          <w:smallCaps/>
        </w:rPr>
      </w:pPr>
      <w:r>
        <w:rPr>
          <w:rFonts w:ascii="Calibri" w:hAnsi="Calibri"/>
          <w:smallCaps/>
        </w:rPr>
        <w:t>Warranty</w:t>
      </w:r>
    </w:p>
    <w:p>
      <w:pPr>
        <w:spacing w:before="0" w:after="120"/>
        <w:rPr>
          <w:rFonts w:ascii="Calibri" w:hAnsi="Calibri"/>
          <w:sz w:val="18"/>
        </w:rPr>
      </w:pPr>
      <w:r>
        <w:rPr>
          <w:rFonts w:ascii="Calibri" w:hAnsi="Calibri"/>
          <w:sz w:val="18"/>
        </w:rPr>
        <w:t>The Contractor warrants that the Works shall be free from defect in design, material, workmanship and title; shall conform in all respects with the terms of the WPO; and shall be of the best quality if no quality is specified. If any such defect of the Works becomes evident within one year of operation, and the Buyer so notifies the Contractor within a reasonable period of time after discovery of the defect, the Contractor shall thereupon promptly correct the defect at its expense.</w:t>
      </w:r>
    </w:p>
    <w:p>
      <w:pPr>
        <w:spacing w:before="0" w:after="120"/>
        <w:rPr>
          <w:rFonts w:ascii="Calibri" w:hAnsi="Calibri"/>
          <w:sz w:val="18"/>
        </w:rPr>
      </w:pPr>
      <w:r>
        <w:rPr>
          <w:rFonts w:ascii="Calibri" w:hAnsi="Calibri"/>
          <w:sz w:val="18"/>
        </w:rPr>
        <w:t>If the Contractor does not replace or repair the Goods as notified to the Supplier as being defective within a period of time reasonable in the circumstances, the Buyer shall have the right to remedy the said defect at the Supplier’s risk, cost and expense.</w:t>
      </w:r>
    </w:p>
    <w:p>
      <w:pPr>
        <w:keepNext/>
        <w:keepLines/>
        <w:spacing w:after="120"/>
        <w:outlineLvl w:val="2"/>
        <w:rPr>
          <w:rFonts w:ascii="Calibri" w:hAnsi="Calibri"/>
          <w:smallCaps/>
        </w:rPr>
      </w:pPr>
      <w:r>
        <w:rPr>
          <w:rFonts w:ascii="Calibri" w:hAnsi="Calibri"/>
          <w:smallCaps/>
        </w:rPr>
        <w:t>Assignment/Subcontracting</w:t>
      </w:r>
    </w:p>
    <w:p>
      <w:pPr>
        <w:spacing w:before="0" w:after="120"/>
      </w:pPr>
      <w:r>
        <w:rPr>
          <w:rFonts w:ascii="Calibri" w:hAnsi="Calibri"/>
          <w:sz w:val="18"/>
        </w:rPr>
        <w:t>The Supplier shall not assign or subcontract this agreement or any part thereof to third parties unless the Supplier has obtained prior approval in writing from the Buyer after informing the Buyer of its own procurement plan and procedures.</w:t>
      </w:r>
    </w:p>
    <w:p/>
    <w:sectPr>
      <w:headerReference r:id="rId6" w:type="first"/>
      <w:headerReference r:id="rId5" w:type="default"/>
      <w:footerReference r:id="rId7" w:type="default"/>
      <w:pgSz w:w="11907" w:h="16839"/>
      <w:pgMar w:top="1560" w:right="1152" w:bottom="1080" w:left="1152" w:header="284" w:footer="720"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Symbol">
    <w:panose1 w:val="05050102010706020507"/>
    <w:charset w:val="02"/>
    <w:family w:val="roman"/>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50"/>
        <w:tab w:val="left" w:pos="5818"/>
      </w:tabs>
      <w:ind w:right="260"/>
      <w:jc w:val="right"/>
      <w:rPr>
        <w:color w:val="222A35" w:themeColor="text2" w:themeShade="80"/>
      </w:rPr>
    </w:pPr>
    <w:r>
      <w:rPr>
        <w:color w:val="8497B0" w:themeColor="text2" w:themeTint="99"/>
        <w:spacing w:val="60"/>
        <w:lang w:val="sv-SE"/>
        <w14:textFill>
          <w14:solidFill>
            <w14:schemeClr w14:val="tx2">
              <w14:lumMod w14:val="60000"/>
              <w14:lumOff w14:val="40000"/>
            </w14:schemeClr>
          </w14:solidFill>
        </w14:textFill>
      </w:rPr>
      <w:t>Page</w:t>
    </w:r>
    <w:r>
      <w:rPr>
        <w:color w:val="8497B0" w:themeColor="text2" w:themeTint="99"/>
        <w:lang w:val="sv-SE"/>
        <w14:textFill>
          <w14:solidFill>
            <w14:schemeClr w14:val="tx2">
              <w14:lumMod w14:val="60000"/>
              <w14:lumOff w14:val="40000"/>
            </w14:schemeClr>
          </w14:solidFill>
        </w14:textFill>
      </w:rPr>
      <w:t xml:space="preserve"> </w:t>
    </w:r>
    <w:r>
      <w:rPr>
        <w:color w:val="333F50" w:themeColor="text2" w:themeShade="BF"/>
      </w:rPr>
      <w:fldChar w:fldCharType="begin"/>
    </w:r>
    <w:r>
      <w:rPr>
        <w:color w:val="333F50" w:themeColor="text2" w:themeShade="BF"/>
      </w:rPr>
      <w:instrText xml:space="preserve">PAGE   \* MERGEFORMAT</w:instrText>
    </w:r>
    <w:r>
      <w:rPr>
        <w:color w:val="333F50" w:themeColor="text2" w:themeShade="BF"/>
      </w:rPr>
      <w:fldChar w:fldCharType="separate"/>
    </w:r>
    <w:r>
      <w:rPr>
        <w:color w:val="333F50" w:themeColor="text2" w:themeShade="BF"/>
        <w:lang w:val="sv-SE"/>
      </w:rPr>
      <w:t>3</w:t>
    </w:r>
    <w:r>
      <w:rPr>
        <w:color w:val="333F50" w:themeColor="text2" w:themeShade="BF"/>
      </w:rPr>
      <w:fldChar w:fldCharType="end"/>
    </w:r>
    <w:r>
      <w:rPr>
        <w:color w:val="333F50" w:themeColor="text2" w:themeShade="BF"/>
        <w:lang w:val="sv-SE"/>
      </w:rPr>
      <w:t xml:space="preserve"> | </w:t>
    </w:r>
    <w:r>
      <w:rPr>
        <w:color w:val="333F50" w:themeColor="text2" w:themeShade="BF"/>
      </w:rPr>
      <w:fldChar w:fldCharType="begin"/>
    </w:r>
    <w:r>
      <w:rPr>
        <w:color w:val="333F50" w:themeColor="text2" w:themeShade="BF"/>
      </w:rPr>
      <w:instrText xml:space="preserve">NUMPAGES  \* Arabic  \* MERGEFORMAT</w:instrText>
    </w:r>
    <w:r>
      <w:rPr>
        <w:color w:val="333F50" w:themeColor="text2" w:themeShade="BF"/>
      </w:rPr>
      <w:fldChar w:fldCharType="separate"/>
    </w:r>
    <w:r>
      <w:rPr>
        <w:color w:val="333F50" w:themeColor="text2" w:themeShade="BF"/>
        <w:lang w:val="sv-SE"/>
      </w:rPr>
      <w:t>7</w:t>
    </w:r>
    <w:r>
      <w:rPr>
        <w:color w:val="333F50" w:themeColor="text2" w:themeShade="BF"/>
      </w:rPr>
      <w:fldChar w:fldCharType="end"/>
    </w:r>
  </w:p>
  <w:p>
    <w:pPr>
      <w:pStyle w:val="7"/>
    </w:pPr>
    <w:r>
      <w:fldChar w:fldCharType="begin"/>
    </w:r>
    <w:r>
      <w:instrText xml:space="preserve"> DATE \@ "yyyy-MM-dd" </w:instrText>
    </w:r>
    <w:r>
      <w:fldChar w:fldCharType="separate"/>
    </w:r>
    <w:r>
      <w:t>2021-04-01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820"/>
        <w:tab w:val="right" w:pos="9498"/>
        <w:tab w:val="clear" w:pos="4320"/>
        <w:tab w:val="clear" w:pos="8640"/>
      </w:tabs>
      <w:rPr>
        <w:rFonts w:cs="Calibri" w:asciiTheme="minorHAnsi" w:hAnsiTheme="minorHAnsi"/>
        <w:sz w:val="20"/>
      </w:rPr>
    </w:pPr>
    <w:r>
      <w:rPr>
        <w:rFonts w:cs="Calibri" w:asciiTheme="minorHAnsi" w:hAnsiTheme="minorHAnsi"/>
        <w:sz w:val="20"/>
      </w:rPr>
      <w:tab/>
    </w:r>
    <w:r>
      <w:drawing>
        <wp:inline distT="0" distB="0" distL="0" distR="0">
          <wp:extent cx="590550" cy="645795"/>
          <wp:effectExtent l="0" t="0" r="0" b="1905"/>
          <wp:docPr id="9"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cs="Calibri" w:asciiTheme="minorHAnsi" w:hAnsiTheme="minorHAnsi"/>
        <w:sz w:val="20"/>
      </w:rPr>
      <w:tab/>
    </w:r>
    <w:r>
      <w:rPr>
        <w:rFonts w:asciiTheme="minorHAnsi" w:hAnsiTheme="minorHAnsi" w:cstheme="minorHAnsi"/>
        <w:sz w:val="20"/>
      </w:rPr>
      <w:fldChar w:fldCharType="begin"/>
    </w:r>
    <w:r>
      <w:rPr>
        <w:rFonts w:asciiTheme="minorHAnsi" w:hAnsiTheme="minorHAnsi" w:cstheme="minorHAnsi"/>
        <w:sz w:val="20"/>
      </w:rPr>
      <w:instrText xml:space="preserve"> REF Number \h  \* MERGEFORMAT </w:instrText>
    </w:r>
    <w:r>
      <w:rPr>
        <w:rFonts w:asciiTheme="minorHAnsi" w:hAnsiTheme="minorHAnsi" w:cstheme="minorHAnsi"/>
        <w:sz w:val="20"/>
      </w:rPr>
      <w:fldChar w:fldCharType="separate"/>
    </w:r>
    <w:r>
      <w:rPr>
        <w:rStyle w:val="10"/>
        <w:rFonts w:asciiTheme="minorHAnsi" w:hAnsiTheme="minorHAnsi" w:cstheme="minorHAnsi"/>
        <w:szCs w:val="24"/>
      </w:rPr>
      <w:t>RFO-MXXX</w:t>
    </w:r>
    <w:r>
      <w:rPr>
        <w:rStyle w:val="10"/>
        <w:rFonts w:hint="eastAsia" w:asciiTheme="minorHAnsi" w:hAnsiTheme="minorHAnsi" w:cstheme="minorHAnsi"/>
        <w:szCs w:val="24"/>
      </w:rPr>
      <w:t>-</w:t>
    </w:r>
    <w:r>
      <w:rPr>
        <w:rStyle w:val="10"/>
        <w:rFonts w:asciiTheme="minorHAnsi" w:hAnsiTheme="minorHAnsi" w:cstheme="minorHAnsi"/>
        <w:szCs w:val="24"/>
      </w:rPr>
      <w:t>2020-000</w:t>
    </w:r>
    <w:r>
      <w:rPr>
        <w:rFonts w:asciiTheme="minorHAnsi" w:hAnsiTheme="minorHAnsi" w:cstheme="minorHAns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cs="Calibri"/>
        <w:sz w:val="20"/>
        <w:u w:val="single"/>
      </w:rPr>
    </w:pPr>
    <w:r>
      <w:rPr>
        <w:rFonts w:cs="Calibri"/>
        <w:sz w:val="20"/>
        <w:u w:val="single"/>
      </w:rPr>
      <w:t xml:space="preserve">GGGI Country Program Development             RFP-2011-003  Volume 1 (Main)                </w:t>
    </w:r>
    <w:r>
      <w:rPr>
        <w:rFonts w:cs="Calibri"/>
        <w:sz w:val="20"/>
        <w:u w:val="single"/>
      </w:rPr>
      <w:tab/>
    </w:r>
    <w:r>
      <w:rPr>
        <w:rFonts w:cs="Calibri"/>
        <w:sz w:val="20"/>
        <w:u w:val="single"/>
      </w:rPr>
      <w:t xml:space="preserve">Page </w:t>
    </w:r>
    <w:r>
      <w:rPr>
        <w:rFonts w:cs="Calibri"/>
        <w:sz w:val="20"/>
        <w:u w:val="single"/>
      </w:rPr>
      <w:fldChar w:fldCharType="begin"/>
    </w:r>
    <w:r>
      <w:rPr>
        <w:rFonts w:cs="Calibri"/>
        <w:sz w:val="20"/>
        <w:u w:val="single"/>
      </w:rPr>
      <w:instrText xml:space="preserve"> PAGE   \* MERGEFORMAT </w:instrText>
    </w:r>
    <w:r>
      <w:rPr>
        <w:rFonts w:cs="Calibri"/>
        <w:sz w:val="20"/>
        <w:u w:val="single"/>
      </w:rPr>
      <w:fldChar w:fldCharType="separate"/>
    </w:r>
    <w:r>
      <w:rPr>
        <w:rFonts w:cs="Calibri"/>
        <w:sz w:val="20"/>
        <w:u w:val="single"/>
      </w:rPr>
      <w:t>1</w:t>
    </w:r>
    <w:r>
      <w:rPr>
        <w:rFonts w:cs="Calibri"/>
        <w:sz w:val="20"/>
        <w:u w:val="single"/>
      </w:rPr>
      <w:fldChar w:fldCharType="end"/>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326B7"/>
    <w:multiLevelType w:val="multilevel"/>
    <w:tmpl w:val="1FD326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12E779E"/>
    <w:multiLevelType w:val="multilevel"/>
    <w:tmpl w:val="612E779E"/>
    <w:lvl w:ilvl="0" w:tentative="0">
      <w:start w:val="1"/>
      <w:numFmt w:val="bullet"/>
      <w:lvlText w:val=""/>
      <w:lvlJc w:val="left"/>
      <w:pPr>
        <w:ind w:left="714" w:hanging="360"/>
      </w:pPr>
      <w:rPr>
        <w:rFonts w:hint="default" w:ascii="Symbol" w:hAnsi="Symbol"/>
      </w:rPr>
    </w:lvl>
    <w:lvl w:ilvl="1" w:tentative="0">
      <w:start w:val="1"/>
      <w:numFmt w:val="bullet"/>
      <w:lvlText w:val="o"/>
      <w:lvlJc w:val="left"/>
      <w:pPr>
        <w:ind w:left="1434" w:hanging="360"/>
      </w:pPr>
      <w:rPr>
        <w:rFonts w:hint="default" w:ascii="Courier New" w:hAnsi="Courier New" w:cs="Courier New"/>
      </w:rPr>
    </w:lvl>
    <w:lvl w:ilvl="2" w:tentative="0">
      <w:start w:val="1"/>
      <w:numFmt w:val="bullet"/>
      <w:lvlText w:val=""/>
      <w:lvlJc w:val="left"/>
      <w:pPr>
        <w:ind w:left="2154" w:hanging="360"/>
      </w:pPr>
      <w:rPr>
        <w:rFonts w:hint="default" w:ascii="Wingdings" w:hAnsi="Wingdings"/>
      </w:rPr>
    </w:lvl>
    <w:lvl w:ilvl="3" w:tentative="0">
      <w:start w:val="1"/>
      <w:numFmt w:val="bullet"/>
      <w:lvlText w:val=""/>
      <w:lvlJc w:val="left"/>
      <w:pPr>
        <w:ind w:left="2874" w:hanging="360"/>
      </w:pPr>
      <w:rPr>
        <w:rFonts w:hint="default" w:ascii="Symbol" w:hAnsi="Symbol"/>
      </w:rPr>
    </w:lvl>
    <w:lvl w:ilvl="4" w:tentative="0">
      <w:start w:val="1"/>
      <w:numFmt w:val="bullet"/>
      <w:lvlText w:val="o"/>
      <w:lvlJc w:val="left"/>
      <w:pPr>
        <w:ind w:left="3594" w:hanging="360"/>
      </w:pPr>
      <w:rPr>
        <w:rFonts w:hint="default" w:ascii="Courier New" w:hAnsi="Courier New" w:cs="Courier New"/>
      </w:rPr>
    </w:lvl>
    <w:lvl w:ilvl="5" w:tentative="0">
      <w:start w:val="1"/>
      <w:numFmt w:val="bullet"/>
      <w:lvlText w:val=""/>
      <w:lvlJc w:val="left"/>
      <w:pPr>
        <w:ind w:left="4314" w:hanging="360"/>
      </w:pPr>
      <w:rPr>
        <w:rFonts w:hint="default" w:ascii="Wingdings" w:hAnsi="Wingdings"/>
      </w:rPr>
    </w:lvl>
    <w:lvl w:ilvl="6" w:tentative="0">
      <w:start w:val="1"/>
      <w:numFmt w:val="bullet"/>
      <w:lvlText w:val=""/>
      <w:lvlJc w:val="left"/>
      <w:pPr>
        <w:ind w:left="5034" w:hanging="360"/>
      </w:pPr>
      <w:rPr>
        <w:rFonts w:hint="default" w:ascii="Symbol" w:hAnsi="Symbol"/>
      </w:rPr>
    </w:lvl>
    <w:lvl w:ilvl="7" w:tentative="0">
      <w:start w:val="1"/>
      <w:numFmt w:val="bullet"/>
      <w:lvlText w:val="o"/>
      <w:lvlJc w:val="left"/>
      <w:pPr>
        <w:ind w:left="5754" w:hanging="360"/>
      </w:pPr>
      <w:rPr>
        <w:rFonts w:hint="default" w:ascii="Courier New" w:hAnsi="Courier New" w:cs="Courier New"/>
      </w:rPr>
    </w:lvl>
    <w:lvl w:ilvl="8" w:tentative="0">
      <w:start w:val="1"/>
      <w:numFmt w:val="bullet"/>
      <w:lvlText w:val=""/>
      <w:lvlJc w:val="left"/>
      <w:pPr>
        <w:ind w:left="6474" w:hanging="360"/>
      </w:pPr>
      <w:rPr>
        <w:rFonts w:hint="default" w:ascii="Wingdings" w:hAnsi="Wingdings"/>
      </w:rPr>
    </w:lvl>
  </w:abstractNum>
  <w:abstractNum w:abstractNumId="2">
    <w:nsid w:val="697A3CBF"/>
    <w:multiLevelType w:val="multilevel"/>
    <w:tmpl w:val="697A3C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EE220E0"/>
    <w:multiLevelType w:val="multilevel"/>
    <w:tmpl w:val="6EE220E0"/>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75F63490"/>
    <w:multiLevelType w:val="multilevel"/>
    <w:tmpl w:val="75F634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6A61783"/>
    <w:multiLevelType w:val="multilevel"/>
    <w:tmpl w:val="76A61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0"/>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18"/>
    <w:rsid w:val="000543FB"/>
    <w:rsid w:val="001E16B4"/>
    <w:rsid w:val="00422C24"/>
    <w:rsid w:val="00544318"/>
    <w:rsid w:val="005A075E"/>
    <w:rsid w:val="005C2C03"/>
    <w:rsid w:val="00657329"/>
    <w:rsid w:val="006759A2"/>
    <w:rsid w:val="006F7B74"/>
    <w:rsid w:val="008A7DE3"/>
    <w:rsid w:val="009B0C99"/>
    <w:rsid w:val="00A03F6E"/>
    <w:rsid w:val="00AA3D11"/>
    <w:rsid w:val="00D75126"/>
    <w:rsid w:val="00D91304"/>
    <w:rsid w:val="179051DA"/>
    <w:rsid w:val="338103F5"/>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0" w:line="240" w:lineRule="auto"/>
    </w:pPr>
    <w:rPr>
      <w:rFonts w:ascii="Times New Roman" w:hAnsi="Times New Roman" w:eastAsia="Malgun Gothic" w:cs="Times New Roman"/>
      <w:sz w:val="24"/>
      <w:szCs w:val="24"/>
      <w:lang w:val="en-US" w:eastAsia="en-US" w:bidi="ar-SA"/>
    </w:rPr>
  </w:style>
  <w:style w:type="paragraph" w:styleId="2">
    <w:name w:val="heading 1"/>
    <w:next w:val="1"/>
    <w:link w:val="12"/>
    <w:qFormat/>
    <w:uiPriority w:val="0"/>
    <w:pPr>
      <w:keepNext/>
      <w:keepLines/>
      <w:spacing w:before="120" w:after="120" w:line="240" w:lineRule="auto"/>
      <w:jc w:val="center"/>
      <w:outlineLvl w:val="0"/>
    </w:pPr>
    <w:rPr>
      <w:rFonts w:ascii="Calibri" w:hAnsi="Calibri" w:eastAsia="Malgun Gothic" w:cs="Times New Roman"/>
      <w:b/>
      <w:sz w:val="36"/>
      <w:szCs w:val="24"/>
      <w:lang w:val="en-GB" w:eastAsia="en-GB" w:bidi="ar-SA"/>
    </w:rPr>
  </w:style>
  <w:style w:type="paragraph" w:styleId="3">
    <w:name w:val="heading 2"/>
    <w:next w:val="1"/>
    <w:link w:val="13"/>
    <w:qFormat/>
    <w:uiPriority w:val="0"/>
    <w:pPr>
      <w:keepNext/>
      <w:keepLines/>
      <w:spacing w:before="360" w:after="240" w:line="240" w:lineRule="auto"/>
      <w:outlineLvl w:val="1"/>
    </w:pPr>
    <w:rPr>
      <w:rFonts w:ascii="Calibri" w:hAnsi="Calibri" w:eastAsia="Malgun Gothic" w:cs="Times New Roman"/>
      <w:b/>
      <w:sz w:val="32"/>
      <w:szCs w:val="32"/>
      <w:lang w:val="en-GB" w:eastAsia="en-US" w:bidi="ar-SA"/>
    </w:rPr>
  </w:style>
  <w:style w:type="paragraph" w:styleId="4">
    <w:name w:val="heading 3"/>
    <w:next w:val="1"/>
    <w:link w:val="14"/>
    <w:qFormat/>
    <w:uiPriority w:val="0"/>
    <w:pPr>
      <w:keepNext/>
      <w:keepLines/>
      <w:spacing w:before="120" w:after="120" w:line="240" w:lineRule="auto"/>
      <w:outlineLvl w:val="2"/>
    </w:pPr>
    <w:rPr>
      <w:rFonts w:ascii="Calibri" w:hAnsi="Calibri" w:eastAsia="Malgun Gothic" w:cs="Times New Roman"/>
      <w:smallCaps/>
      <w:sz w:val="24"/>
      <w:szCs w:val="24"/>
      <w:lang w:val="en-US" w:eastAsia="en-US" w:bidi="ar-SA"/>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footer"/>
    <w:basedOn w:val="1"/>
    <w:link w:val="15"/>
    <w:uiPriority w:val="99"/>
    <w:pPr>
      <w:tabs>
        <w:tab w:val="center" w:pos="4320"/>
        <w:tab w:val="right" w:pos="8640"/>
      </w:tabs>
    </w:pPr>
    <w:rPr>
      <w:szCs w:val="20"/>
    </w:rPr>
  </w:style>
  <w:style w:type="paragraph" w:styleId="8">
    <w:name w:val="header"/>
    <w:basedOn w:val="1"/>
    <w:link w:val="16"/>
    <w:uiPriority w:val="99"/>
    <w:pPr>
      <w:tabs>
        <w:tab w:val="center" w:pos="4320"/>
        <w:tab w:val="right" w:pos="8640"/>
      </w:tabs>
    </w:pPr>
    <w:rPr>
      <w:szCs w:val="20"/>
    </w:rPr>
  </w:style>
  <w:style w:type="character" w:styleId="9">
    <w:name w:val="Hyperlink"/>
    <w:uiPriority w:val="0"/>
    <w:rPr>
      <w:color w:val="0000FF"/>
      <w:u w:val="single"/>
    </w:rPr>
  </w:style>
  <w:style w:type="character" w:styleId="10">
    <w:name w:val="Strong"/>
    <w:qFormat/>
    <w:uiPriority w:val="0"/>
    <w:rPr>
      <w:b/>
      <w:bCs/>
    </w:rPr>
  </w:style>
  <w:style w:type="table" w:styleId="11">
    <w:name w:val="Table Grid"/>
    <w:basedOn w:val="6"/>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1 Char"/>
    <w:basedOn w:val="5"/>
    <w:link w:val="2"/>
    <w:uiPriority w:val="0"/>
    <w:rPr>
      <w:rFonts w:ascii="Calibri" w:hAnsi="Calibri" w:eastAsia="Malgun Gothic" w:cs="Times New Roman"/>
      <w:b/>
      <w:sz w:val="36"/>
      <w:szCs w:val="24"/>
      <w:lang w:val="en-GB" w:eastAsia="en-GB"/>
    </w:rPr>
  </w:style>
  <w:style w:type="character" w:customStyle="1" w:styleId="13">
    <w:name w:val="Heading 2 Char"/>
    <w:basedOn w:val="5"/>
    <w:link w:val="3"/>
    <w:uiPriority w:val="0"/>
    <w:rPr>
      <w:rFonts w:ascii="Calibri" w:hAnsi="Calibri" w:eastAsia="Malgun Gothic" w:cs="Times New Roman"/>
      <w:b/>
      <w:sz w:val="32"/>
      <w:szCs w:val="32"/>
      <w:lang w:val="en-GB"/>
    </w:rPr>
  </w:style>
  <w:style w:type="character" w:customStyle="1" w:styleId="14">
    <w:name w:val="Heading 3 Char"/>
    <w:basedOn w:val="5"/>
    <w:link w:val="4"/>
    <w:uiPriority w:val="0"/>
    <w:rPr>
      <w:rFonts w:ascii="Calibri" w:hAnsi="Calibri" w:eastAsia="Malgun Gothic" w:cs="Times New Roman"/>
      <w:smallCaps/>
      <w:sz w:val="24"/>
      <w:szCs w:val="24"/>
      <w:lang w:val="en-US"/>
    </w:rPr>
  </w:style>
  <w:style w:type="character" w:customStyle="1" w:styleId="15">
    <w:name w:val="Footer Char"/>
    <w:basedOn w:val="5"/>
    <w:link w:val="7"/>
    <w:uiPriority w:val="99"/>
    <w:rPr>
      <w:rFonts w:ascii="Times New Roman" w:hAnsi="Times New Roman" w:eastAsia="Malgun Gothic" w:cs="Times New Roman"/>
      <w:sz w:val="24"/>
      <w:szCs w:val="20"/>
      <w:lang w:val="en-US"/>
    </w:rPr>
  </w:style>
  <w:style w:type="character" w:customStyle="1" w:styleId="16">
    <w:name w:val="Header Char"/>
    <w:basedOn w:val="5"/>
    <w:link w:val="8"/>
    <w:uiPriority w:val="99"/>
    <w:rPr>
      <w:rFonts w:ascii="Times New Roman" w:hAnsi="Times New Roman" w:eastAsia="Malgun Gothic" w:cs="Times New Roman"/>
      <w:sz w:val="24"/>
      <w:szCs w:val="20"/>
      <w:lang w:val="en-US"/>
    </w:rPr>
  </w:style>
  <w:style w:type="paragraph" w:customStyle="1" w:styleId="17">
    <w:name w:val="Colorful List - Accent 11"/>
    <w:basedOn w:val="1"/>
    <w:qFormat/>
    <w:uiPriority w:val="99"/>
    <w:pPr>
      <w:ind w:left="720"/>
      <w:contextualSpacing/>
    </w:pPr>
    <w:rPr>
      <w:rFonts w:ascii="Cambria" w:hAnsi="Cambria"/>
    </w:rPr>
  </w:style>
  <w:style w:type="paragraph" w:customStyle="1" w:styleId="18">
    <w:name w:val="Heading Page1stuff"/>
    <w:next w:val="1"/>
    <w:qFormat/>
    <w:uiPriority w:val="0"/>
    <w:pPr>
      <w:spacing w:after="60" w:line="360" w:lineRule="auto"/>
    </w:pPr>
    <w:rPr>
      <w:rFonts w:ascii="Calibri" w:hAnsi="Calibri" w:eastAsia="Malgun Gothic" w:cs="Times New Roman"/>
      <w:b/>
      <w:sz w:val="28"/>
      <w:szCs w:val="24"/>
      <w:lang w:val="en-US" w:eastAsia="en-US" w:bidi="ar-SA"/>
    </w:rPr>
  </w:style>
  <w:style w:type="paragraph" w:styleId="19">
    <w:name w:val="List Paragraph"/>
    <w:basedOn w:val="1"/>
    <w:qFormat/>
    <w:uiPriority w:val="34"/>
    <w:pPr>
      <w:widowControl w:val="0"/>
      <w:wordWrap w:val="0"/>
      <w:autoSpaceDE w:val="0"/>
      <w:autoSpaceDN w:val="0"/>
      <w:ind w:left="800" w:leftChars="400"/>
      <w:jc w:val="both"/>
    </w:pPr>
    <w:rPr>
      <w:rFonts w:ascii="Calibri" w:hAnsi="Calibri" w:eastAsia="Times New Roman"/>
      <w:kern w:val="2"/>
      <w:sz w:val="20"/>
      <w:szCs w:val="22"/>
      <w:lang w:eastAsia="ko-KR"/>
    </w:rPr>
  </w:style>
  <w:style w:type="table" w:customStyle="1" w:styleId="20">
    <w:name w:val="Grid Table 1 Light"/>
    <w:basedOn w:val="6"/>
    <w:uiPriority w:val="46"/>
    <w:pPr>
      <w:spacing w:after="0" w:line="240" w:lineRule="auto"/>
    </w:pPr>
    <w:rPr>
      <w:rFonts w:ascii="Times New Roman" w:hAnsi="Times New Roman" w:eastAsia="Malgun Gothic" w:cs="Times New Roman"/>
      <w:sz w:val="20"/>
      <w:szCs w:val="20"/>
      <w:lang w:val="en-GB" w:eastAsia="en-GB"/>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21">
    <w:name w:val="No Spacing"/>
    <w:qFormat/>
    <w:uiPriority w:val="1"/>
    <w:pPr>
      <w:spacing w:after="120" w:line="240" w:lineRule="auto"/>
    </w:pPr>
    <w:rPr>
      <w:rFonts w:ascii="Calibri" w:hAnsi="Calibri" w:eastAsiaTheme="minorEastAsia" w:cstheme="minorBidi"/>
      <w:sz w:val="18"/>
      <w:szCs w:val="24"/>
      <w:lang w:val="en-US" w:eastAsia="en-US" w:bidi="ar-SA"/>
    </w:rPr>
  </w:style>
  <w:style w:type="paragraph" w:customStyle="1" w:styleId="22">
    <w:name w:val="Table Contents"/>
    <w:link w:val="23"/>
    <w:qFormat/>
    <w:uiPriority w:val="0"/>
    <w:pPr>
      <w:spacing w:after="0" w:line="240" w:lineRule="auto"/>
    </w:pPr>
    <w:rPr>
      <w:rFonts w:ascii="Calibri" w:hAnsi="Calibri" w:eastAsia="Malgun Gothic" w:cs="Times New Roman"/>
      <w:kern w:val="2"/>
      <w:sz w:val="24"/>
      <w:szCs w:val="24"/>
      <w:lang w:val="en-GB" w:eastAsia="ko-KR" w:bidi="ar-SA"/>
    </w:rPr>
  </w:style>
  <w:style w:type="character" w:customStyle="1" w:styleId="23">
    <w:name w:val="Table Contents Char"/>
    <w:link w:val="22"/>
    <w:uiPriority w:val="0"/>
    <w:rPr>
      <w:rFonts w:ascii="Calibri" w:hAnsi="Calibri" w:eastAsia="Malgun Gothic" w:cs="Times New Roman"/>
      <w:kern w:val="2"/>
      <w:sz w:val="24"/>
      <w:szCs w:val="24"/>
      <w:lang w:val="en-GB" w:eastAsia="ko-KR"/>
    </w:rPr>
  </w:style>
  <w:style w:type="table" w:customStyle="1" w:styleId="24">
    <w:name w:val="Table Grid1"/>
    <w:basedOn w:val="6"/>
    <w:uiPriority w:val="59"/>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Table Grid2"/>
    <w:basedOn w:val="6"/>
    <w:uiPriority w:val="59"/>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1616</Words>
  <Characters>9216</Characters>
  <Lines>76</Lines>
  <Paragraphs>21</Paragraphs>
  <TotalTime>11</TotalTime>
  <ScaleCrop>false</ScaleCrop>
  <LinksUpToDate>false</LinksUpToDate>
  <CharactersWithSpaces>10811</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2021-03-30T06:29:00Z</dcterms:created>
  <dc:creator>Ereta Turaki</dc:creator>
  <cp:lastModifiedBy>tneemia</cp:lastModifiedBy>
  <dcterms:modified xsi:type="dcterms:W3CDTF">2021-03-31T23:35:48Z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